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2.vsd" ContentType="application/vnd.visio"/>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026637">
      <w:pPr>
        <w:spacing w:before="0" w:beforeLines="0" w:after="60" w:afterLines="0"/>
        <w:rPr>
          <w:rFonts w:hint="default" w:ascii="Arial" w:hAnsi="Arial" w:eastAsia="宋体" w:cs="Arial"/>
          <w:b/>
          <w:bCs/>
          <w:sz w:val="24"/>
          <w:lang w:val="en-US" w:eastAsia="zh-CN"/>
        </w:rPr>
      </w:pPr>
      <w:r>
        <w:rPr>
          <w:rFonts w:ascii="Arial" w:hAnsi="Arial" w:cs="Arial"/>
          <w:b/>
          <w:bCs/>
          <w:sz w:val="24"/>
        </w:rPr>
        <w:t>3GPP TSG RAN WG 2 #</w:t>
      </w:r>
      <w:r>
        <w:rPr>
          <w:rFonts w:hint="eastAsia" w:ascii="Arial" w:hAnsi="Arial" w:eastAsia="宋体" w:cs="Arial"/>
          <w:b/>
          <w:bCs/>
          <w:sz w:val="24"/>
        </w:rPr>
        <w:t xml:space="preserve"> 133</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hint="eastAsia" w:ascii="Arial" w:hAnsi="Arial" w:cs="Arial" w:eastAsiaTheme="minorEastAsia"/>
          <w:b/>
          <w:bCs/>
          <w:sz w:val="24"/>
        </w:rPr>
        <w:t xml:space="preserve">      </w:t>
      </w:r>
      <w:r>
        <w:rPr>
          <w:rFonts w:ascii="Arial" w:hAnsi="Arial" w:cs="Arial"/>
          <w:b/>
          <w:bCs/>
          <w:sz w:val="24"/>
        </w:rPr>
        <w:t>R</w:t>
      </w:r>
      <w:r>
        <w:rPr>
          <w:rFonts w:hint="eastAsia" w:ascii="Arial" w:hAnsi="Arial" w:cs="Arial" w:eastAsiaTheme="minorEastAsia"/>
          <w:b/>
          <w:bCs/>
          <w:sz w:val="24"/>
        </w:rPr>
        <w:t>2</w:t>
      </w:r>
      <w:r>
        <w:rPr>
          <w:rFonts w:ascii="Arial" w:hAnsi="Arial" w:cs="Arial"/>
          <w:b/>
          <w:bCs/>
          <w:sz w:val="24"/>
        </w:rPr>
        <w:t>-2</w:t>
      </w:r>
      <w:r>
        <w:rPr>
          <w:rFonts w:hint="eastAsia" w:ascii="Arial" w:hAnsi="Arial" w:eastAsia="宋体" w:cs="Arial"/>
          <w:b/>
          <w:bCs/>
          <w:sz w:val="24"/>
        </w:rPr>
        <w:t>60</w:t>
      </w:r>
      <w:r>
        <w:rPr>
          <w:rFonts w:hint="eastAsia" w:ascii="Arial" w:hAnsi="Arial" w:eastAsia="宋体" w:cs="Arial"/>
          <w:b/>
          <w:bCs/>
          <w:sz w:val="24"/>
          <w:lang w:val="en-US" w:eastAsia="zh-CN"/>
        </w:rPr>
        <w:t>1035</w:t>
      </w:r>
      <w:bookmarkStart w:id="4" w:name="_GoBack"/>
      <w:bookmarkEnd w:id="4"/>
    </w:p>
    <w:p w14:paraId="5F17EFB8">
      <w:pPr>
        <w:tabs>
          <w:tab w:val="left" w:pos="1820"/>
        </w:tabs>
        <w:spacing w:before="0" w:beforeLines="0" w:after="60" w:afterLines="0"/>
        <w:rPr>
          <w:rFonts w:ascii="Arial" w:hAnsi="Arial" w:cs="Arial" w:eastAsiaTheme="minorEastAsia"/>
          <w:b/>
          <w:bCs/>
          <w:sz w:val="24"/>
          <w:lang w:val="en-GB"/>
        </w:rPr>
      </w:pPr>
      <w:r>
        <w:rPr>
          <w:rFonts w:ascii="Arial" w:hAnsi="Arial" w:cs="Arial"/>
          <w:b/>
          <w:bCs/>
          <w:sz w:val="24"/>
        </w:rPr>
        <w:t>Gothenburg, S</w:t>
      </w:r>
      <w:r>
        <w:rPr>
          <w:rFonts w:hint="eastAsia" w:ascii="Arial" w:hAnsi="Arial" w:eastAsia="宋体" w:cs="Arial"/>
          <w:b/>
          <w:bCs/>
          <w:sz w:val="24"/>
        </w:rPr>
        <w:t>weden</w:t>
      </w:r>
      <w:r>
        <w:rPr>
          <w:rFonts w:hint="eastAsia" w:ascii="Arial" w:hAnsi="Arial" w:cs="Arial" w:eastAsiaTheme="minorEastAsia"/>
          <w:b/>
          <w:bCs/>
          <w:sz w:val="24"/>
        </w:rPr>
        <w:t xml:space="preserve">, </w:t>
      </w:r>
      <w:r>
        <w:rPr>
          <w:rFonts w:hint="eastAsia" w:ascii="Arial" w:hAnsi="Arial" w:cs="Arial" w:eastAsiaTheme="minorEastAsia"/>
          <w:b/>
          <w:bCs/>
          <w:sz w:val="24"/>
          <w:lang w:val="en-GB"/>
        </w:rPr>
        <w:t>February 9</w:t>
      </w:r>
      <w:r>
        <w:rPr>
          <w:rFonts w:hint="eastAsia" w:ascii="Arial" w:hAnsi="Arial" w:cs="Arial" w:eastAsiaTheme="minorEastAsia"/>
          <w:b/>
          <w:bCs/>
          <w:sz w:val="24"/>
          <w:vertAlign w:val="superscript"/>
          <w:lang w:val="en-GB"/>
        </w:rPr>
        <w:t>th</w:t>
      </w:r>
      <w:r>
        <w:rPr>
          <w:rFonts w:hint="eastAsia" w:ascii="Arial" w:hAnsi="Arial" w:cs="Arial" w:eastAsiaTheme="minorEastAsia"/>
          <w:b/>
          <w:bCs/>
          <w:sz w:val="24"/>
          <w:lang w:val="en-GB"/>
        </w:rPr>
        <w:t>-13</w:t>
      </w:r>
      <w:r>
        <w:rPr>
          <w:rFonts w:hint="eastAsia" w:ascii="Arial" w:hAnsi="Arial" w:cs="Arial" w:eastAsiaTheme="minorEastAsia"/>
          <w:b/>
          <w:bCs/>
          <w:sz w:val="24"/>
          <w:vertAlign w:val="superscript"/>
          <w:lang w:val="en-GB"/>
        </w:rPr>
        <w:t>th</w:t>
      </w:r>
      <w:r>
        <w:rPr>
          <w:rFonts w:hint="eastAsia" w:ascii="Arial" w:hAnsi="Arial" w:cs="Arial" w:eastAsiaTheme="minorEastAsia"/>
          <w:b/>
          <w:bCs/>
          <w:sz w:val="24"/>
          <w:lang w:val="en-GB"/>
        </w:rPr>
        <w:t>,</w:t>
      </w:r>
      <w:r>
        <w:rPr>
          <w:rFonts w:ascii="Arial" w:hAnsi="Arial" w:cs="Arial"/>
          <w:b/>
          <w:bCs/>
          <w:sz w:val="24"/>
          <w:lang w:val="en-GB"/>
        </w:rPr>
        <w:t xml:space="preserve"> 202</w:t>
      </w:r>
      <w:r>
        <w:rPr>
          <w:rFonts w:hint="eastAsia" w:ascii="Arial" w:hAnsi="Arial" w:cs="Arial" w:eastAsiaTheme="minorEastAsia"/>
          <w:b/>
          <w:bCs/>
          <w:sz w:val="24"/>
          <w:lang w:val="en-GB"/>
        </w:rPr>
        <w:t>6</w:t>
      </w:r>
    </w:p>
    <w:p w14:paraId="34545856">
      <w:pPr>
        <w:tabs>
          <w:tab w:val="left" w:pos="1820"/>
        </w:tabs>
        <w:spacing w:before="0" w:beforeLines="0" w:after="60" w:afterLines="0"/>
        <w:rPr>
          <w:rFonts w:ascii="Arial" w:hAnsi="Arial" w:eastAsia="宋体" w:cs="Arial"/>
          <w:b/>
          <w:sz w:val="24"/>
          <w:szCs w:val="24"/>
          <w:lang w:val="en-GB"/>
        </w:rPr>
      </w:pPr>
    </w:p>
    <w:p w14:paraId="22CDA3B3">
      <w:pPr>
        <w:tabs>
          <w:tab w:val="left" w:pos="1820"/>
        </w:tabs>
        <w:spacing w:before="0" w:beforeLines="0" w:after="60" w:afterLines="0"/>
        <w:rPr>
          <w:rFonts w:ascii="Arial" w:hAnsi="Arial" w:eastAsia="宋体" w:cs="Arial"/>
          <w:b/>
          <w:bCs/>
          <w:sz w:val="24"/>
          <w:szCs w:val="24"/>
        </w:rPr>
      </w:pPr>
      <w:r>
        <w:rPr>
          <w:rFonts w:ascii="Arial" w:hAnsi="Arial" w:eastAsia="宋体" w:cs="Arial"/>
          <w:b/>
          <w:sz w:val="24"/>
          <w:szCs w:val="24"/>
          <w:lang w:val="en-AU"/>
        </w:rPr>
        <w:t>Agenda Item:</w:t>
      </w:r>
      <w:r>
        <w:rPr>
          <w:rFonts w:ascii="Arial" w:hAnsi="Arial" w:eastAsia="宋体" w:cs="Arial"/>
          <w:b/>
          <w:bCs/>
          <w:sz w:val="24"/>
          <w:szCs w:val="24"/>
          <w:lang w:val="en-AU"/>
        </w:rPr>
        <w:tab/>
      </w:r>
      <w:bookmarkStart w:id="0" w:name="OLE_LINK6"/>
      <w:bookmarkStart w:id="1" w:name="OLE_LINK7"/>
      <w:r>
        <w:rPr>
          <w:rFonts w:hint="eastAsia" w:ascii="Arial" w:hAnsi="Arial" w:eastAsia="宋体" w:cs="Arial"/>
          <w:b/>
          <w:bCs/>
          <w:sz w:val="24"/>
          <w:szCs w:val="24"/>
        </w:rPr>
        <w:t>10.4</w:t>
      </w:r>
    </w:p>
    <w:p w14:paraId="460DD64E">
      <w:pPr>
        <w:tabs>
          <w:tab w:val="left" w:pos="1824"/>
        </w:tabs>
        <w:spacing w:before="0" w:beforeLines="0" w:after="60" w:afterLines="0"/>
        <w:rPr>
          <w:rFonts w:ascii="Arial" w:hAnsi="Arial" w:eastAsia="宋体" w:cs="Arial"/>
          <w:b/>
          <w:bCs/>
          <w:sz w:val="24"/>
          <w:szCs w:val="24"/>
          <w:lang w:val="en-AU"/>
        </w:rPr>
      </w:pPr>
      <w:r>
        <w:rPr>
          <w:rFonts w:ascii="Arial" w:hAnsi="Arial" w:eastAsia="宋体" w:cs="Arial"/>
          <w:b/>
          <w:sz w:val="24"/>
          <w:szCs w:val="24"/>
          <w:lang w:val="en-AU"/>
        </w:rPr>
        <w:t>Source:</w:t>
      </w:r>
      <w:r>
        <w:rPr>
          <w:rFonts w:ascii="Arial" w:hAnsi="Arial" w:eastAsia="宋体" w:cs="Arial"/>
          <w:b/>
          <w:bCs/>
          <w:sz w:val="24"/>
          <w:szCs w:val="24"/>
          <w:lang w:val="en-AU"/>
        </w:rPr>
        <w:tab/>
      </w:r>
      <w:r>
        <w:rPr>
          <w:rFonts w:ascii="Arial" w:hAnsi="Arial" w:eastAsia="宋体" w:cs="Arial"/>
          <w:b/>
          <w:bCs/>
          <w:sz w:val="24"/>
          <w:szCs w:val="24"/>
          <w:lang w:val="en-AU"/>
        </w:rPr>
        <w:t>CSCN</w:t>
      </w:r>
    </w:p>
    <w:p w14:paraId="1BE344BB">
      <w:pPr>
        <w:tabs>
          <w:tab w:val="left" w:pos="1820"/>
        </w:tabs>
        <w:spacing w:before="0" w:beforeLines="0" w:after="60" w:afterLines="0"/>
        <w:ind w:left="1820" w:hanging="1820"/>
        <w:rPr>
          <w:rFonts w:ascii="Arial" w:hAnsi="Arial" w:eastAsia="宋体" w:cs="Arial"/>
          <w:b/>
          <w:sz w:val="24"/>
          <w:szCs w:val="24"/>
        </w:rPr>
      </w:pPr>
      <w:r>
        <w:rPr>
          <w:rFonts w:ascii="Arial" w:hAnsi="Arial" w:eastAsia="宋体" w:cs="Arial"/>
          <w:b/>
          <w:sz w:val="24"/>
          <w:szCs w:val="24"/>
          <w:lang w:val="en-AU"/>
        </w:rPr>
        <w:t>Title:</w:t>
      </w:r>
      <w:r>
        <w:rPr>
          <w:rFonts w:ascii="Arial" w:hAnsi="Arial" w:eastAsia="宋体" w:cs="Arial"/>
          <w:b/>
          <w:bCs/>
          <w:sz w:val="24"/>
          <w:szCs w:val="24"/>
          <w:lang w:val="en-AU"/>
        </w:rPr>
        <w:tab/>
      </w:r>
      <w:r>
        <w:rPr>
          <w:rFonts w:hint="eastAsia" w:ascii="Arial" w:hAnsi="Arial" w:eastAsia="宋体" w:cs="Arial"/>
          <w:b/>
          <w:bCs/>
          <w:sz w:val="24"/>
          <w:szCs w:val="24"/>
        </w:rPr>
        <w:t>Discussion on the 6G mobility of NTN</w:t>
      </w:r>
    </w:p>
    <w:p w14:paraId="78D07DF7">
      <w:pPr>
        <w:pBdr>
          <w:bottom w:val="single" w:color="auto" w:sz="12" w:space="1"/>
        </w:pBdr>
        <w:tabs>
          <w:tab w:val="left" w:pos="1820"/>
        </w:tabs>
        <w:spacing w:before="0" w:beforeLines="0" w:after="60" w:afterLines="0"/>
        <w:ind w:left="1820" w:hanging="1820"/>
        <w:rPr>
          <w:rFonts w:ascii="Arial" w:hAnsi="Arial" w:eastAsia="宋体" w:cs="Arial"/>
          <w:b/>
          <w:bCs/>
          <w:sz w:val="24"/>
          <w:szCs w:val="24"/>
          <w:lang w:val="en-AU"/>
        </w:rPr>
      </w:pPr>
      <w:r>
        <w:rPr>
          <w:rFonts w:ascii="Arial" w:hAnsi="Arial" w:eastAsia="宋体" w:cs="Arial"/>
          <w:b/>
          <w:sz w:val="24"/>
          <w:szCs w:val="24"/>
          <w:lang w:val="en-AU"/>
        </w:rPr>
        <w:t>Document for:</w:t>
      </w:r>
      <w:r>
        <w:rPr>
          <w:rFonts w:ascii="Arial" w:hAnsi="Arial" w:eastAsia="宋体" w:cs="Arial"/>
          <w:b/>
          <w:bCs/>
          <w:sz w:val="24"/>
          <w:szCs w:val="24"/>
          <w:lang w:val="en-AU"/>
        </w:rPr>
        <w:tab/>
      </w:r>
      <w:r>
        <w:rPr>
          <w:rFonts w:ascii="Arial" w:hAnsi="Arial" w:eastAsia="宋体" w:cs="Arial"/>
          <w:b/>
          <w:sz w:val="24"/>
          <w:szCs w:val="24"/>
          <w:lang w:val="en-AU"/>
        </w:rPr>
        <w:t>Discussion</w:t>
      </w:r>
      <w:bookmarkEnd w:id="0"/>
      <w:bookmarkEnd w:id="1"/>
      <w:r>
        <w:rPr>
          <w:rFonts w:hint="eastAsia" w:ascii="Arial" w:hAnsi="Arial" w:eastAsia="宋体" w:cs="Arial"/>
          <w:b/>
          <w:sz w:val="24"/>
          <w:szCs w:val="24"/>
        </w:rPr>
        <w:t>/Decision</w:t>
      </w:r>
    </w:p>
    <w:p w14:paraId="717D6A3C">
      <w:pPr>
        <w:pStyle w:val="2"/>
        <w:numPr>
          <w:ilvl w:val="0"/>
          <w:numId w:val="1"/>
        </w:numPr>
        <w:spacing w:before="156" w:after="156"/>
        <w:rPr>
          <w:rFonts w:eastAsia="宋体"/>
          <w:sz w:val="28"/>
          <w:szCs w:val="28"/>
        </w:rPr>
      </w:pPr>
      <w:r>
        <w:rPr>
          <w:rFonts w:hint="eastAsia" w:eastAsia="宋体"/>
          <w:sz w:val="28"/>
          <w:szCs w:val="28"/>
        </w:rPr>
        <w:t>Introduction</w:t>
      </w:r>
    </w:p>
    <w:p w14:paraId="462B28EE">
      <w:pPr>
        <w:spacing w:before="156" w:after="156"/>
        <w:rPr>
          <w:rFonts w:eastAsia="宋体"/>
        </w:rPr>
      </w:pPr>
      <w:r>
        <w:rPr>
          <w:rFonts w:hint="eastAsia" w:eastAsia="宋体"/>
        </w:rPr>
        <w:t>In RAN2#132, following aspects were agreed for 6G mobility [1].</w:t>
      </w:r>
    </w:p>
    <w:p w14:paraId="13458DDE">
      <w:pPr>
        <w:pStyle w:val="30"/>
        <w:ind w:left="0" w:firstLine="0"/>
        <w:rPr>
          <w:rFonts w:eastAsiaTheme="minorEastAsia"/>
          <w:b/>
          <w:bCs/>
          <w:lang w:val="en-US" w:eastAsia="zh-CN"/>
        </w:rPr>
      </w:pPr>
      <w:bookmarkStart w:id="2" w:name="OLE_LINK1"/>
      <w:r>
        <w:rPr>
          <w:b/>
          <w:bCs/>
          <w:lang w:val="en-US"/>
        </w:rPr>
        <w:t>Mobility framework</w:t>
      </w:r>
      <w:bookmarkEnd w:id="2"/>
      <w:r>
        <w:rPr>
          <w:b/>
          <w:bCs/>
          <w:lang w:val="en-US"/>
        </w:rPr>
        <w:t>/targets:</w:t>
      </w:r>
    </w:p>
    <w:p w14:paraId="0BEFA4B2">
      <w:pPr>
        <w:pStyle w:val="30"/>
        <w:pBdr>
          <w:top w:val="single" w:color="auto" w:sz="4" w:space="1"/>
          <w:left w:val="single" w:color="auto" w:sz="4" w:space="4"/>
          <w:bottom w:val="single" w:color="auto" w:sz="4" w:space="1"/>
          <w:right w:val="single" w:color="auto" w:sz="4" w:space="4"/>
        </w:pBdr>
        <w:rPr>
          <w:b/>
          <w:bCs/>
        </w:rPr>
      </w:pPr>
      <w:r>
        <w:rPr>
          <w:b/>
          <w:bCs/>
        </w:rPr>
        <w:t>Agreements on mobility</w:t>
      </w:r>
    </w:p>
    <w:p w14:paraId="038E05C1">
      <w:pPr>
        <w:pStyle w:val="30"/>
        <w:pBdr>
          <w:top w:val="single" w:color="auto" w:sz="4" w:space="1"/>
          <w:left w:val="single" w:color="auto" w:sz="4" w:space="4"/>
          <w:bottom w:val="single" w:color="auto" w:sz="4" w:space="1"/>
          <w:right w:val="single" w:color="auto" w:sz="4" w:space="4"/>
        </w:pBdr>
      </w:pPr>
      <w:r>
        <w:t>1.</w:t>
      </w:r>
      <w:r>
        <w:tab/>
      </w:r>
      <w:r>
        <w:t>Study at least the following mobility schemes</w:t>
      </w:r>
    </w:p>
    <w:p w14:paraId="7A7F5C5B">
      <w:pPr>
        <w:pStyle w:val="32"/>
        <w:numPr>
          <w:ilvl w:val="0"/>
          <w:numId w:val="5"/>
        </w:numPr>
        <w:pBdr>
          <w:top w:val="single" w:color="auto" w:sz="4" w:space="1"/>
          <w:left w:val="single" w:color="auto" w:sz="4" w:space="4"/>
          <w:bottom w:val="single" w:color="auto" w:sz="4" w:space="1"/>
          <w:right w:val="single" w:color="auto" w:sz="4" w:space="4"/>
        </w:pBdr>
        <w:spacing w:before="156" w:after="156"/>
        <w:rPr>
          <w:b w:val="0"/>
          <w:bCs/>
        </w:rPr>
      </w:pPr>
      <w:r>
        <w:rPr>
          <w:b w:val="0"/>
          <w:bCs/>
        </w:rPr>
        <w:t xml:space="preserve">NW configures and triggers the mobility without pre-configuration, and UE performs it immediately </w:t>
      </w:r>
    </w:p>
    <w:p w14:paraId="03070573">
      <w:pPr>
        <w:pStyle w:val="30"/>
        <w:numPr>
          <w:ilvl w:val="0"/>
          <w:numId w:val="5"/>
        </w:numPr>
        <w:pBdr>
          <w:top w:val="single" w:color="auto" w:sz="4" w:space="1"/>
          <w:left w:val="single" w:color="auto" w:sz="4" w:space="4"/>
          <w:bottom w:val="single" w:color="auto" w:sz="4" w:space="1"/>
          <w:right w:val="single" w:color="auto" w:sz="4" w:space="4"/>
        </w:pBdr>
      </w:pPr>
      <w:r>
        <w:t>Pre-configured solutions and early UE configuration processing</w:t>
      </w:r>
    </w:p>
    <w:p w14:paraId="3F68BFF4">
      <w:pPr>
        <w:pStyle w:val="30"/>
        <w:numPr>
          <w:ilvl w:val="0"/>
          <w:numId w:val="5"/>
        </w:numPr>
        <w:pBdr>
          <w:top w:val="single" w:color="auto" w:sz="4" w:space="1"/>
          <w:left w:val="single" w:color="auto" w:sz="4" w:space="4"/>
          <w:bottom w:val="single" w:color="auto" w:sz="4" w:space="1"/>
          <w:right w:val="single" w:color="auto" w:sz="4" w:space="4"/>
        </w:pBdr>
      </w:pPr>
      <w:r>
        <w:t xml:space="preserve">UE triggered mobility based on some pre-configuration  </w:t>
      </w:r>
    </w:p>
    <w:p w14:paraId="3098CFCE">
      <w:pPr>
        <w:pStyle w:val="30"/>
        <w:numPr>
          <w:ilvl w:val="0"/>
          <w:numId w:val="5"/>
        </w:numPr>
        <w:pBdr>
          <w:top w:val="single" w:color="auto" w:sz="4" w:space="1"/>
          <w:left w:val="single" w:color="auto" w:sz="4" w:space="4"/>
          <w:bottom w:val="single" w:color="auto" w:sz="4" w:space="1"/>
          <w:right w:val="single" w:color="auto" w:sz="4" w:space="4"/>
        </w:pBdr>
      </w:pPr>
      <w:r>
        <w:t xml:space="preserve">CFRA, RACH-less, early UL/DL sync, early CSI.  </w:t>
      </w:r>
    </w:p>
    <w:p w14:paraId="7168EC59">
      <w:pPr>
        <w:pStyle w:val="30"/>
        <w:pBdr>
          <w:top w:val="single" w:color="auto" w:sz="4" w:space="1"/>
          <w:left w:val="single" w:color="auto" w:sz="4" w:space="4"/>
          <w:bottom w:val="single" w:color="auto" w:sz="4" w:space="1"/>
          <w:right w:val="single" w:color="auto" w:sz="4" w:space="4"/>
        </w:pBdr>
        <w:ind w:left="1259" w:firstLine="0"/>
      </w:pPr>
      <w:r>
        <w:t xml:space="preserve">Schemes should consider the lower interruption, robustness requirements and throughput degradation while considering UE and NW complexity and resource efficiency.   </w:t>
      </w:r>
    </w:p>
    <w:p w14:paraId="613FFC5B">
      <w:pPr>
        <w:pStyle w:val="30"/>
        <w:pBdr>
          <w:top w:val="single" w:color="auto" w:sz="4" w:space="1"/>
          <w:left w:val="single" w:color="auto" w:sz="4" w:space="4"/>
          <w:bottom w:val="single" w:color="auto" w:sz="4" w:space="1"/>
          <w:right w:val="single" w:color="auto" w:sz="4" w:space="4"/>
        </w:pBdr>
        <w:ind w:left="1259" w:firstLine="0"/>
      </w:pPr>
      <w: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6EC109CB">
      <w:pPr>
        <w:pStyle w:val="30"/>
        <w:pBdr>
          <w:top w:val="single" w:color="auto" w:sz="4" w:space="1"/>
          <w:left w:val="single" w:color="auto" w:sz="4" w:space="4"/>
          <w:bottom w:val="single" w:color="auto" w:sz="4" w:space="1"/>
          <w:right w:val="single" w:color="auto" w:sz="4" w:space="4"/>
        </w:pBdr>
      </w:pPr>
      <w:r>
        <w:t>2.</w:t>
      </w:r>
      <w:r>
        <w:tab/>
      </w:r>
      <w:r>
        <w:t xml:space="preserve">DAPS as in NR is not considered in this study item </w:t>
      </w:r>
    </w:p>
    <w:p w14:paraId="380A21F1">
      <w:pPr>
        <w:pStyle w:val="30"/>
        <w:ind w:left="0" w:firstLine="0"/>
        <w:rPr>
          <w:b/>
          <w:bCs/>
          <w:lang w:val="en-US"/>
        </w:rPr>
      </w:pPr>
      <w:r>
        <w:rPr>
          <w:b/>
          <w:bCs/>
          <w:lang w:val="en-US"/>
        </w:rPr>
        <w:t>IDLE/INACTIVE mobility:</w:t>
      </w:r>
    </w:p>
    <w:p w14:paraId="5CB1B32C">
      <w:pPr>
        <w:pBdr>
          <w:top w:val="single" w:color="auto" w:sz="4" w:space="1"/>
          <w:left w:val="single" w:color="auto" w:sz="4" w:space="4"/>
          <w:bottom w:val="single" w:color="auto" w:sz="4" w:space="1"/>
          <w:right w:val="single" w:color="auto" w:sz="4" w:space="4"/>
        </w:pBdr>
        <w:spacing w:before="60" w:beforeLines="0" w:after="0" w:afterLines="0"/>
        <w:ind w:left="1619" w:hanging="360"/>
        <w:jc w:val="left"/>
        <w:rPr>
          <w:rFonts w:ascii="Arial" w:hAnsi="Arial" w:eastAsia="MS Mincho" w:cs="Times New Roman"/>
          <w:b/>
          <w:kern w:val="0"/>
          <w:szCs w:val="24"/>
          <w:lang w:eastAsia="en-GB"/>
        </w:rPr>
      </w:pPr>
      <w:r>
        <w:rPr>
          <w:rFonts w:ascii="Arial" w:hAnsi="Arial" w:eastAsia="MS Mincho" w:cs="Times New Roman"/>
          <w:b/>
          <w:kern w:val="0"/>
          <w:szCs w:val="24"/>
          <w:lang w:eastAsia="en-GB"/>
        </w:rPr>
        <w:t>Agreements</w:t>
      </w:r>
    </w:p>
    <w:p w14:paraId="28337FB8">
      <w:pPr>
        <w:numPr>
          <w:ilvl w:val="0"/>
          <w:numId w:val="6"/>
        </w:numPr>
        <w:pBdr>
          <w:top w:val="single" w:color="auto" w:sz="4" w:space="1"/>
          <w:left w:val="single" w:color="auto" w:sz="4" w:space="4"/>
          <w:bottom w:val="single" w:color="auto" w:sz="4" w:space="1"/>
          <w:right w:val="single" w:color="auto" w:sz="4" w:space="4"/>
        </w:pBdr>
        <w:spacing w:before="60" w:beforeLines="0" w:after="0" w:afterLines="0"/>
        <w:jc w:val="left"/>
        <w:rPr>
          <w:rFonts w:ascii="Arial" w:hAnsi="Arial" w:eastAsia="MS Mincho" w:cs="Times New Roman"/>
          <w:bCs/>
          <w:kern w:val="0"/>
          <w:szCs w:val="24"/>
          <w:lang w:eastAsia="en-GB"/>
        </w:rPr>
      </w:pPr>
      <w:r>
        <w:rPr>
          <w:rFonts w:ascii="Arial" w:hAnsi="Arial" w:eastAsia="MS Mincho" w:cs="Times New Roman"/>
          <w:bCs/>
          <w:kern w:val="0"/>
          <w:szCs w:val="24"/>
          <w:lang w:eastAsia="en-GB"/>
        </w:rPr>
        <w:t xml:space="preserve">NR cell (re) selection framework (e.g best cell principle, cell ranking, inter-freq/RAT prioritization, etc)  is the baseline of 6G cell reselection framework.  </w:t>
      </w:r>
    </w:p>
    <w:p w14:paraId="5AB77C6D">
      <w:pPr>
        <w:numPr>
          <w:ilvl w:val="0"/>
          <w:numId w:val="6"/>
        </w:numPr>
        <w:pBdr>
          <w:top w:val="single" w:color="auto" w:sz="4" w:space="1"/>
          <w:left w:val="single" w:color="auto" w:sz="4" w:space="4"/>
          <w:bottom w:val="single" w:color="auto" w:sz="4" w:space="1"/>
          <w:right w:val="single" w:color="auto" w:sz="4" w:space="4"/>
        </w:pBdr>
        <w:spacing w:before="60" w:beforeLines="0" w:after="0" w:afterLines="0"/>
        <w:jc w:val="left"/>
        <w:rPr>
          <w:rFonts w:ascii="Arial" w:hAnsi="Arial" w:eastAsia="MS Mincho" w:cs="Times New Roman"/>
          <w:bCs/>
          <w:kern w:val="0"/>
          <w:szCs w:val="24"/>
          <w:lang w:eastAsia="en-GB"/>
        </w:rPr>
      </w:pPr>
      <w:r>
        <w:rPr>
          <w:rFonts w:ascii="Arial" w:hAnsi="Arial" w:eastAsia="MS Mincho" w:cs="Times New Roman"/>
          <w:bCs/>
          <w:kern w:val="0"/>
          <w:szCs w:val="24"/>
          <w:lang w:eastAsia="en-GB"/>
        </w:rPr>
        <w:t xml:space="preserve">Understand the issues we want to address in 6G.   Study further how other 6G related aspects with energy saving, spectrum aggregation, service awareness, features, deployment type (e.g. TN, NTN), slicing, speed dependent etc impact cell selection/reselection, etc.    </w:t>
      </w:r>
    </w:p>
    <w:p w14:paraId="4C2D3F7B">
      <w:pPr>
        <w:numPr>
          <w:ilvl w:val="0"/>
          <w:numId w:val="6"/>
        </w:numPr>
        <w:pBdr>
          <w:top w:val="single" w:color="auto" w:sz="4" w:space="1"/>
          <w:left w:val="single" w:color="auto" w:sz="4" w:space="4"/>
          <w:bottom w:val="single" w:color="auto" w:sz="4" w:space="1"/>
          <w:right w:val="single" w:color="auto" w:sz="4" w:space="4"/>
        </w:pBdr>
        <w:spacing w:before="60" w:beforeLines="0" w:after="0" w:afterLines="0"/>
        <w:jc w:val="left"/>
        <w:rPr>
          <w:rFonts w:ascii="Arial" w:hAnsi="Arial" w:eastAsia="MS Mincho" w:cs="Times New Roman"/>
          <w:bCs/>
          <w:kern w:val="0"/>
          <w:szCs w:val="24"/>
          <w:lang w:eastAsia="en-GB"/>
        </w:rPr>
      </w:pPr>
      <w:r>
        <w:rPr>
          <w:rFonts w:ascii="Arial" w:hAnsi="Arial" w:eastAsia="MS Mincho" w:cs="Times New Roman"/>
          <w:bCs/>
          <w:kern w:val="0"/>
          <w:szCs w:val="24"/>
          <w:lang w:eastAsia="en-GB"/>
        </w:rPr>
        <w:t xml:space="preserve">These discussions will resume once we have some progress/understanding from other WGs on cells, reference signals, measurement framework/requirements etc.    </w:t>
      </w:r>
    </w:p>
    <w:p w14:paraId="23649FFC">
      <w:pPr>
        <w:pStyle w:val="30"/>
        <w:ind w:left="0" w:firstLine="0"/>
        <w:rPr>
          <w:b/>
          <w:bCs/>
          <w:lang w:val="en-US"/>
        </w:rPr>
      </w:pPr>
      <w:r>
        <w:rPr>
          <w:b/>
          <w:bCs/>
          <w:lang w:val="en-US"/>
        </w:rPr>
        <w:t>Inter-RAT mobility:</w:t>
      </w:r>
    </w:p>
    <w:p w14:paraId="07617FC6">
      <w:pPr>
        <w:pStyle w:val="30"/>
        <w:pBdr>
          <w:top w:val="single" w:color="auto" w:sz="4" w:space="1"/>
          <w:left w:val="single" w:color="auto" w:sz="4" w:space="4"/>
          <w:bottom w:val="single" w:color="auto" w:sz="4" w:space="1"/>
          <w:right w:val="single" w:color="auto" w:sz="4" w:space="4"/>
        </w:pBdr>
        <w:rPr>
          <w:b/>
          <w:bCs/>
        </w:rPr>
      </w:pPr>
      <w:r>
        <w:rPr>
          <w:b/>
          <w:bCs/>
        </w:rPr>
        <w:t>Agreements</w:t>
      </w:r>
    </w:p>
    <w:p w14:paraId="426F7C69">
      <w:pPr>
        <w:pStyle w:val="30"/>
        <w:pBdr>
          <w:top w:val="single" w:color="auto" w:sz="4" w:space="1"/>
          <w:left w:val="single" w:color="auto" w:sz="4" w:space="4"/>
          <w:bottom w:val="single" w:color="auto" w:sz="4" w:space="1"/>
          <w:right w:val="single" w:color="auto" w:sz="4" w:space="4"/>
        </w:pBdr>
      </w:pPr>
      <w:r>
        <w:t>1</w:t>
      </w:r>
      <w:r>
        <w:tab/>
      </w:r>
      <w:r>
        <w:t>For inter-RAT mobility (5G and 6G), the following is supported as a starting point:</w:t>
      </w:r>
    </w:p>
    <w:p w14:paraId="4A04ABCD">
      <w:pPr>
        <w:pStyle w:val="30"/>
        <w:pBdr>
          <w:top w:val="single" w:color="auto" w:sz="4" w:space="1"/>
          <w:left w:val="single" w:color="auto" w:sz="4" w:space="4"/>
          <w:bottom w:val="single" w:color="auto" w:sz="4" w:space="1"/>
          <w:right w:val="single" w:color="auto" w:sz="4" w:space="4"/>
        </w:pBdr>
      </w:pPr>
      <w:r>
        <w:t>­</w:t>
      </w:r>
      <w:r>
        <w:tab/>
      </w:r>
      <w:r>
        <w:t>For RRC_CONNECTED state, both handover and re-direction can be supported for inter-RAT mobility</w:t>
      </w:r>
    </w:p>
    <w:p w14:paraId="303FA147">
      <w:pPr>
        <w:pStyle w:val="30"/>
        <w:pBdr>
          <w:top w:val="single" w:color="auto" w:sz="4" w:space="1"/>
          <w:left w:val="single" w:color="auto" w:sz="4" w:space="4"/>
          <w:bottom w:val="single" w:color="auto" w:sz="4" w:space="1"/>
          <w:right w:val="single" w:color="auto" w:sz="4" w:space="4"/>
        </w:pBdr>
      </w:pPr>
      <w:r>
        <w:t>­</w:t>
      </w:r>
      <w:r>
        <w:tab/>
      </w:r>
      <w:r>
        <w:t>Inter-RAT cell reselection information can be provided to UE.</w:t>
      </w:r>
    </w:p>
    <w:p w14:paraId="141AF76A">
      <w:pPr>
        <w:pStyle w:val="30"/>
        <w:pBdr>
          <w:top w:val="single" w:color="auto" w:sz="4" w:space="1"/>
          <w:left w:val="single" w:color="auto" w:sz="4" w:space="4"/>
          <w:bottom w:val="single" w:color="auto" w:sz="4" w:space="1"/>
          <w:right w:val="single" w:color="auto" w:sz="4" w:space="4"/>
        </w:pBdr>
        <w:rPr>
          <w:rFonts w:eastAsiaTheme="minorEastAsia"/>
          <w:lang w:eastAsia="zh-CN"/>
        </w:rPr>
      </w:pPr>
      <w:r>
        <w:t>2</w:t>
      </w:r>
      <w:r>
        <w:tab/>
      </w:r>
      <w:r>
        <w:t xml:space="preserve">Wait for further mobility discussions on the intra-RAT solutions, before coming back to look at the need for further enhancements.  Consider MRSS. </w:t>
      </w:r>
    </w:p>
    <w:p w14:paraId="71F283EE">
      <w:pPr>
        <w:pBdr>
          <w:bottom w:val="single" w:color="auto" w:sz="12" w:space="1"/>
        </w:pBdr>
        <w:spacing w:before="156" w:after="156"/>
        <w:rPr>
          <w:rFonts w:cs="Times New Roman" w:eastAsiaTheme="minorEastAsia"/>
        </w:rPr>
      </w:pPr>
      <w:r>
        <w:rPr>
          <w:rFonts w:hint="eastAsia" w:cs="Times New Roman" w:eastAsiaTheme="minorEastAsia"/>
        </w:rPr>
        <w:t xml:space="preserve">In this contribution, we present our views on the 6G mobility both for TN and NTN. </w:t>
      </w:r>
    </w:p>
    <w:p w14:paraId="7F4616CD">
      <w:pPr>
        <w:pBdr>
          <w:bottom w:val="single" w:color="auto" w:sz="12" w:space="1"/>
        </w:pBdr>
        <w:spacing w:before="156" w:after="156"/>
        <w:rPr>
          <w:rFonts w:cs="Times New Roman" w:eastAsiaTheme="minorEastAsia"/>
        </w:rPr>
      </w:pPr>
    </w:p>
    <w:p w14:paraId="3EE5B793">
      <w:pPr>
        <w:pStyle w:val="2"/>
        <w:numPr>
          <w:ilvl w:val="0"/>
          <w:numId w:val="1"/>
        </w:numPr>
        <w:spacing w:before="156" w:after="156"/>
        <w:rPr>
          <w:rFonts w:eastAsia="宋体"/>
          <w:sz w:val="28"/>
          <w:szCs w:val="28"/>
        </w:rPr>
      </w:pPr>
      <w:r>
        <w:rPr>
          <w:rFonts w:hint="eastAsia" w:eastAsia="宋体"/>
          <w:sz w:val="28"/>
          <w:szCs w:val="28"/>
        </w:rPr>
        <w:t>Discussion</w:t>
      </w:r>
    </w:p>
    <w:p w14:paraId="227BB02E">
      <w:pPr>
        <w:pStyle w:val="3"/>
        <w:ind w:left="241" w:hanging="241" w:hangingChars="100"/>
        <w:rPr>
          <w:rFonts w:hint="eastAsia" w:ascii="Times New Roman" w:hAnsi="Times New Roman"/>
        </w:rPr>
      </w:pPr>
      <w:r>
        <w:rPr>
          <w:rFonts w:hint="eastAsia" w:ascii="Times New Roman" w:hAnsi="Times New Roman"/>
        </w:rPr>
        <w:t>Design principle of Mobility framework</w:t>
      </w:r>
    </w:p>
    <w:p w14:paraId="7E2293A6">
      <w:pPr>
        <w:spacing w:before="0" w:beforeLines="0" w:after="0" w:afterLines="0"/>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According to RANP</w:t>
      </w:r>
      <w:r>
        <w:rPr>
          <w:rFonts w:hint="default" w:eastAsia="宋体"/>
          <w:color w:val="000000" w:themeColor="text1"/>
          <w:lang w:val="en-US" w:eastAsia="zh-CN"/>
          <w14:textFill>
            <w14:solidFill>
              <w14:schemeClr w14:val="tx1"/>
            </w14:solidFill>
          </w14:textFill>
        </w:rPr>
        <w:t>’</w:t>
      </w:r>
      <w:r>
        <w:rPr>
          <w:rFonts w:hint="eastAsia" w:eastAsia="宋体"/>
          <w:color w:val="000000" w:themeColor="text1"/>
          <w14:textFill>
            <w14:solidFill>
              <w14:schemeClr w14:val="tx1"/>
            </w14:solidFill>
          </w14:textFill>
        </w:rPr>
        <w:t>s guidance, which is the harmonized design principle for TN and NTN. Therefore, from our perspective, the mobility and measurement of 6G NTN and TN should follow an integrated framework, that is, the mobility and measurement framework of NTN should maximize the reuse of TN</w:t>
      </w:r>
      <w:r>
        <w:rPr>
          <w:rFonts w:hint="default" w:eastAsia="宋体"/>
          <w:color w:val="000000" w:themeColor="text1"/>
          <w:lang w:val="en-US" w:eastAsia="zh-CN"/>
          <w14:textFill>
            <w14:solidFill>
              <w14:schemeClr w14:val="tx1"/>
            </w14:solidFill>
          </w14:textFill>
        </w:rPr>
        <w:t>’</w:t>
      </w:r>
      <w:r>
        <w:rPr>
          <w:rFonts w:hint="eastAsia" w:eastAsia="宋体"/>
          <w:color w:val="000000" w:themeColor="text1"/>
          <w14:textFill>
            <w14:solidFill>
              <w14:schemeClr w14:val="tx1"/>
            </w14:solidFill>
          </w14:textFill>
        </w:rPr>
        <w:t>s design. This can simplify the network configurations, UE behaviors, and also simplify protocol design. It is recommended that during the 6G Day1 study phase, unified design should be considered for the measurement and mobility of NTN and TN, including functions and procedures, and consideration should be given to how to reduce signalling overhead, interruption time and power consumption.</w:t>
      </w:r>
    </w:p>
    <w:p w14:paraId="0F873753">
      <w:pPr>
        <w:spacing w:before="0" w:beforeLines="0" w:after="0" w:afterLines="0"/>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 xml:space="preserve">However, due to the characteristics of NTN, such as large cell coverage area, insignificant near-far effect, </w:t>
      </w:r>
      <w:r>
        <w:rPr>
          <w:rFonts w:hint="eastAsia" w:eastAsia="宋体"/>
          <w:color w:val="000000" w:themeColor="text1"/>
          <w:lang w:val="en-US" w:eastAsia="zh-CN"/>
          <w14:textFill>
            <w14:solidFill>
              <w14:schemeClr w14:val="tx1"/>
            </w14:solidFill>
          </w14:textFill>
        </w:rPr>
        <w:t>D</w:t>
      </w:r>
      <w:r>
        <w:rPr>
          <w:rFonts w:hint="eastAsia" w:eastAsia="宋体"/>
          <w:color w:val="000000" w:themeColor="text1"/>
          <w14:textFill>
            <w14:solidFill>
              <w14:schemeClr w14:val="tx1"/>
            </w14:solidFill>
          </w14:textFill>
        </w:rPr>
        <w:t>oppler shift, fast satellite movement, and frequent handovers, 6G mobility still needs to retain NTN specific design. For example, NTN time-frequency compensation, NTN specific event, NTN specific broadcast information (maybe not NTN specific SIB), etc.</w:t>
      </w:r>
    </w:p>
    <w:p w14:paraId="516233E8">
      <w:pPr>
        <w:spacing w:before="0" w:beforeLines="0" w:after="0" w:afterLines="0"/>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More specifically, to address EventA</w:t>
      </w:r>
      <w:r>
        <w:rPr>
          <w:rFonts w:eastAsia="宋体"/>
          <w:color w:val="000000" w:themeColor="text1"/>
          <w14:textFill>
            <w14:solidFill>
              <w14:schemeClr w14:val="tx1"/>
            </w14:solidFill>
          </w14:textFill>
        </w:rPr>
        <w:t>’</w:t>
      </w:r>
      <w:r>
        <w:rPr>
          <w:rFonts w:hint="eastAsia" w:eastAsia="宋体"/>
          <w:color w:val="000000" w:themeColor="text1"/>
          <w14:textFill>
            <w14:solidFill>
              <w14:schemeClr w14:val="tx1"/>
            </w14:solidFill>
          </w14:textFill>
        </w:rPr>
        <w:t>s inapplicability to NTN with unobvious near-far effect, we have introduced more efficient NTN-specific events (i.e. EventD and CondEventT), which are designed based on NTN characteristic scenarios. Meanwhile, the application of eventD still follows the existing measurement and mobility framework and procedures, including measurement configuration, measurement reporting, and handover triggering, etc.</w:t>
      </w:r>
    </w:p>
    <w:p w14:paraId="3F6E336F">
      <w:pPr>
        <w:spacing w:before="0" w:beforeLines="0" w:after="0" w:afterLines="0"/>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Correspondingly, besides reusing the time/location-based measurement event in 5G, 6G NTN mobility can also consider existing 5G handover types such as HO, CHO, RACH-less HO and LTM as the baseline, which can support additional NTN specific configurations.</w:t>
      </w:r>
    </w:p>
    <w:p w14:paraId="4790DC7A">
      <w:pPr>
        <w:pStyle w:val="21"/>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6G TN and NTN should follow an integrated mobility framework to reduced interruption time, signaling overhead and power consumption, and study following aspects: </w:t>
      </w:r>
    </w:p>
    <w:p w14:paraId="1B671E29">
      <w:pPr>
        <w:pStyle w:val="22"/>
        <w:spacing w:before="156" w:after="156"/>
        <w:rPr>
          <w:rFonts w:eastAsiaTheme="minorEastAsia"/>
          <w:color w:val="000000" w:themeColor="text1"/>
          <w14:textFill>
            <w14:solidFill>
              <w14:schemeClr w14:val="tx1"/>
            </w14:solidFill>
          </w14:textFill>
        </w:rPr>
      </w:pPr>
      <w:r>
        <w:rPr>
          <w:rFonts w:hint="eastAsia" w:eastAsiaTheme="minorEastAsia"/>
          <w:color w:val="000000" w:themeColor="text1"/>
          <w14:textFill>
            <w14:solidFill>
              <w14:schemeClr w14:val="tx1"/>
            </w14:solidFill>
          </w14:textFill>
        </w:rPr>
        <w:t>Supports at least time/location-based measurement event in 5G;</w:t>
      </w:r>
    </w:p>
    <w:p w14:paraId="5DFCC0FE">
      <w:pPr>
        <w:pStyle w:val="22"/>
        <w:spacing w:before="156" w:after="156"/>
        <w:rPr>
          <w:rFonts w:eastAsiaTheme="minorEastAsia"/>
          <w:color w:val="000000" w:themeColor="text1"/>
          <w14:textFill>
            <w14:solidFill>
              <w14:schemeClr w14:val="tx1"/>
            </w14:solidFill>
          </w14:textFill>
        </w:rPr>
      </w:pPr>
      <w:r>
        <w:rPr>
          <w:rFonts w:hint="eastAsia" w:eastAsiaTheme="minorEastAsia"/>
          <w:color w:val="000000" w:themeColor="text1"/>
          <w14:textFill>
            <w14:solidFill>
              <w14:schemeClr w14:val="tx1"/>
            </w14:solidFill>
          </w14:textFill>
        </w:rPr>
        <w:t>Supports handover types including HO, CHO, RACH-less HO, LTM, etc.</w:t>
      </w:r>
    </w:p>
    <w:p w14:paraId="4484AFA8">
      <w:pPr>
        <w:spacing w:before="0" w:beforeLines="0" w:after="0" w:afterLines="0"/>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The mobility of 6G TN and NTN needs to consider all RRC states, including at least RRC_Connected and RRC_IDLE states. As for RRC_Inactive, since the RAN2 level has not yet determined whether to introduce RRC_Inactive or RRC sub-state, and to define the specific meaning of the sub-state. It can be considered that RRC_Inactive or RRC sub-state is beneficial for the UE to quickly resume the connected state, and RAN2 can further study whether and how to support in both TN and NTN.</w:t>
      </w:r>
    </w:p>
    <w:p w14:paraId="3153A2A3">
      <w:pPr>
        <w:pStyle w:val="21"/>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6G NTN mobility should consider whether and how to support all RRC states:</w:t>
      </w:r>
    </w:p>
    <w:p w14:paraId="7093228D">
      <w:pPr>
        <w:pStyle w:val="22"/>
        <w:spacing w:before="156" w:after="156"/>
        <w:rPr>
          <w:rFonts w:eastAsiaTheme="minorEastAsia"/>
          <w:color w:val="000000" w:themeColor="text1"/>
          <w14:textFill>
            <w14:solidFill>
              <w14:schemeClr w14:val="tx1"/>
            </w14:solidFill>
          </w14:textFill>
        </w:rPr>
      </w:pPr>
      <w:r>
        <w:rPr>
          <w:rFonts w:hint="eastAsia" w:eastAsiaTheme="minorEastAsia"/>
          <w:color w:val="000000" w:themeColor="text1"/>
          <w14:textFill>
            <w14:solidFill>
              <w14:schemeClr w14:val="tx1"/>
            </w14:solidFill>
          </w14:textFill>
        </w:rPr>
        <w:t>RRC_Connected</w:t>
      </w:r>
    </w:p>
    <w:p w14:paraId="57A1652C">
      <w:pPr>
        <w:pStyle w:val="22"/>
        <w:spacing w:before="156" w:after="156"/>
        <w:rPr>
          <w:rFonts w:eastAsiaTheme="minorEastAsia"/>
          <w:color w:val="000000" w:themeColor="text1"/>
          <w14:textFill>
            <w14:solidFill>
              <w14:schemeClr w14:val="tx1"/>
            </w14:solidFill>
          </w14:textFill>
        </w:rPr>
      </w:pPr>
      <w:r>
        <w:rPr>
          <w:rFonts w:hint="eastAsia" w:eastAsiaTheme="minorEastAsia"/>
          <w:color w:val="000000" w:themeColor="text1"/>
          <w14:textFill>
            <w14:solidFill>
              <w14:schemeClr w14:val="tx1"/>
            </w14:solidFill>
          </w14:textFill>
        </w:rPr>
        <w:t>RRC_IDLE</w:t>
      </w:r>
    </w:p>
    <w:p w14:paraId="65B31CD4">
      <w:pPr>
        <w:pStyle w:val="22"/>
        <w:spacing w:before="156" w:after="156"/>
        <w:rPr>
          <w:rFonts w:eastAsiaTheme="minorEastAsia"/>
          <w:color w:val="000000" w:themeColor="text1"/>
          <w14:textFill>
            <w14:solidFill>
              <w14:schemeClr w14:val="tx1"/>
            </w14:solidFill>
          </w14:textFill>
        </w:rPr>
      </w:pPr>
      <w:r>
        <w:rPr>
          <w:rFonts w:hint="eastAsia" w:eastAsiaTheme="minorEastAsia"/>
          <w:color w:val="000000" w:themeColor="text1"/>
          <w14:textFill>
            <w14:solidFill>
              <w14:schemeClr w14:val="tx1"/>
            </w14:solidFill>
          </w14:textFill>
        </w:rPr>
        <w:t>RRC_Inactive/sub-state (based on the conclusion of 6G RRC states)</w:t>
      </w:r>
    </w:p>
    <w:p w14:paraId="2365D4AC">
      <w:pPr>
        <w:spacing w:before="0" w:beforeLines="0" w:after="0" w:afterLines="0"/>
        <w:rPr>
          <w:rFonts w:eastAsia="宋体"/>
          <w:b/>
          <w:bCs/>
          <w:color w:val="000000" w:themeColor="text1"/>
          <w14:textFill>
            <w14:solidFill>
              <w14:schemeClr w14:val="tx1"/>
            </w14:solidFill>
          </w14:textFill>
        </w:rPr>
      </w:pPr>
    </w:p>
    <w:p w14:paraId="6CE82508">
      <w:pPr>
        <w:pStyle w:val="3"/>
        <w:keepNext w:val="0"/>
        <w:keepLines w:val="0"/>
        <w:pageBreakBefore w:val="0"/>
        <w:widowControl/>
        <w:kinsoku/>
        <w:wordWrap/>
        <w:overflowPunct/>
        <w:topLinePunct w:val="0"/>
        <w:autoSpaceDE/>
        <w:autoSpaceDN/>
        <w:bidi w:val="0"/>
        <w:adjustRightInd/>
        <w:snapToGrid/>
        <w:ind w:left="0" w:hanging="241" w:hangingChars="100"/>
        <w:textAlignment w:val="auto"/>
      </w:pPr>
      <w:r>
        <w:rPr>
          <w:rFonts w:hint="eastAsia"/>
        </w:rPr>
        <w:t>R</w:t>
      </w:r>
      <w:r>
        <w:t>equirement</w:t>
      </w:r>
      <w:r>
        <w:rPr>
          <w:rFonts w:hint="eastAsia"/>
        </w:rPr>
        <w:t xml:space="preserve"> of NTN mobility</w:t>
      </w:r>
    </w:p>
    <w:p w14:paraId="5A50127E">
      <w:pPr>
        <w:spacing w:before="0" w:beforeLines="0" w:after="0" w:afterLines="0"/>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 xml:space="preserve">In the 6G NTN mobility, more scenarios need to be considered, especially those that were not involved in 5G NTN. These include mobility without GNSS, large cell with beam hopping, multi-orbit collaboration, and TN and NTN coordination, etc. For instance, 5G NTN mobility was based on the assumption of uniform cell sizes. However, in 6G scenarios, particularly those involving inter-frequency overlapping coverage and multi-orbit collaboration, cells (and potentially beams) may vary in size. RAN2 therefore needs to study whether the existing 5G design can support mobility between cells of different sizes, and what potential enhancements could improve handover triggering accuracy while reducing air interface signaling overhead. </w:t>
      </w:r>
    </w:p>
    <w:p w14:paraId="5425C23E">
      <w:pPr>
        <w:spacing w:before="0" w:beforeLines="0" w:after="0" w:afterLines="0"/>
        <w:rPr>
          <w:rFonts w:eastAsia="宋体"/>
          <w:color w:val="000000" w:themeColor="text1"/>
          <w14:textFill>
            <w14:solidFill>
              <w14:schemeClr w14:val="tx1"/>
            </w14:solidFill>
          </w14:textFill>
        </w:rPr>
      </w:pPr>
    </w:p>
    <w:p w14:paraId="7597DC82">
      <w:pPr>
        <w:pStyle w:val="5"/>
        <w:numPr>
          <w:ilvl w:val="2"/>
          <w:numId w:val="1"/>
        </w:numPr>
        <w:ind w:left="0" w:hanging="210" w:hangingChars="100"/>
        <w:outlineLvl w:val="2"/>
        <w:rPr>
          <w:rFonts w:hint="eastAsia" w:ascii="Times New Roman" w:hAnsi="Times New Roman" w:eastAsiaTheme="minorEastAsia"/>
        </w:rPr>
      </w:pPr>
      <w:r>
        <w:rPr>
          <w:rFonts w:hint="eastAsia" w:ascii="Times New Roman" w:hAnsi="Times New Roman" w:eastAsiaTheme="minorEastAsia"/>
        </w:rPr>
        <w:t>GNSS</w:t>
      </w:r>
      <w:r>
        <w:rPr>
          <w:rFonts w:hint="default" w:ascii="Times New Roman" w:hAnsi="Times New Roman" w:eastAsiaTheme="minorEastAsia"/>
        </w:rPr>
        <w:t xml:space="preserve"> free</w:t>
      </w:r>
    </w:p>
    <w:p w14:paraId="199D8FA6">
      <w:pPr>
        <w:spacing w:before="0" w:beforeLines="0" w:after="0" w:afterLines="0"/>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 xml:space="preserve">Currently, RAN1 has decided to study NTN specific requirements and design for GNSS based and GNSS-less/resilient operation, starting with the GNSS based operation. In 5G NTN, it is always assumed that UE has GNSS capabilities and can accurately obtain its own positioning information. Therefore, RAN2 has introduced some optimizations for NTN measurement and mobility, including location-based measurement initiation, location-based cell reselection, location-based eventD, location-based SMTC, etc. In the 6G mobility design of RAN2, it is necessary to consider the impact of potential GNSS-less/resilient on mobility and the corresponding design due to the location based mechanism is no longer applicable. </w:t>
      </w:r>
    </w:p>
    <w:p w14:paraId="00B67B69">
      <w:pPr>
        <w:spacing w:before="0" w:beforeLines="0" w:after="0" w:afterLines="0"/>
        <w:rPr>
          <w:rFonts w:hint="eastAsia"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 xml:space="preserve">Although the current </w:t>
      </w:r>
      <w:r>
        <w:rPr>
          <w:rFonts w:hint="eastAsia" w:eastAsia="宋体"/>
          <w:color w:val="000000" w:themeColor="text1"/>
          <w14:textFill>
            <w14:solidFill>
              <w14:schemeClr w14:val="tx1"/>
            </w14:solidFill>
          </w14:textFill>
        </w:rPr>
        <w:t>study</w:t>
      </w:r>
      <w:r>
        <w:rPr>
          <w:rFonts w:eastAsia="宋体"/>
          <w:color w:val="000000" w:themeColor="text1"/>
          <w14:textFill>
            <w14:solidFill>
              <w14:schemeClr w14:val="tx1"/>
            </w14:solidFill>
          </w14:textFill>
        </w:rPr>
        <w:t xml:space="preserve"> on without GNSS</w:t>
      </w:r>
      <w:r>
        <w:rPr>
          <w:rFonts w:hint="eastAsia" w:eastAsia="宋体"/>
          <w:color w:val="000000" w:themeColor="text1"/>
          <w14:textFill>
            <w14:solidFill>
              <w14:schemeClr w14:val="tx1"/>
            </w14:solidFill>
          </w14:textFill>
        </w:rPr>
        <w:t xml:space="preserve"> mobility</w:t>
      </w:r>
      <w:r>
        <w:rPr>
          <w:rFonts w:eastAsia="宋体"/>
          <w:color w:val="000000" w:themeColor="text1"/>
          <w14:textFill>
            <w14:solidFill>
              <w14:schemeClr w14:val="tx1"/>
            </w14:solidFill>
          </w14:textFill>
        </w:rPr>
        <w:t xml:space="preserve"> belongs to NTN specific </w:t>
      </w:r>
      <w:r>
        <w:rPr>
          <w:rFonts w:hint="eastAsia" w:eastAsia="宋体"/>
          <w:color w:val="000000" w:themeColor="text1"/>
          <w14:textFill>
            <w14:solidFill>
              <w14:schemeClr w14:val="tx1"/>
            </w14:solidFill>
          </w14:textFill>
        </w:rPr>
        <w:t>requirement</w:t>
      </w:r>
      <w:r>
        <w:rPr>
          <w:rFonts w:eastAsia="宋体"/>
          <w:color w:val="000000" w:themeColor="text1"/>
          <w14:textFill>
            <w14:solidFill>
              <w14:schemeClr w14:val="tx1"/>
            </w14:solidFill>
          </w14:textFill>
        </w:rPr>
        <w:t>, RAN2 can simultaneously consider whether the mobility design without GNSS can</w:t>
      </w:r>
      <w:r>
        <w:rPr>
          <w:rFonts w:hint="eastAsia" w:eastAsia="宋体"/>
          <w:color w:val="000000" w:themeColor="text1"/>
          <w14:textFill>
            <w14:solidFill>
              <w14:schemeClr w14:val="tx1"/>
            </w14:solidFill>
          </w14:textFill>
        </w:rPr>
        <w:t xml:space="preserve"> also</w:t>
      </w:r>
      <w:r>
        <w:rPr>
          <w:rFonts w:eastAsia="宋体"/>
          <w:color w:val="000000" w:themeColor="text1"/>
          <w14:textFill>
            <w14:solidFill>
              <w14:schemeClr w14:val="tx1"/>
            </w14:solidFill>
          </w14:textFill>
        </w:rPr>
        <w:t xml:space="preserve"> be applied to TN</w:t>
      </w:r>
      <w:r>
        <w:rPr>
          <w:rFonts w:hint="eastAsia" w:eastAsia="宋体"/>
          <w:color w:val="000000" w:themeColor="text1"/>
          <w14:textFill>
            <w14:solidFill>
              <w14:schemeClr w14:val="tx1"/>
            </w14:solidFill>
          </w14:textFill>
        </w:rPr>
        <w:t>. Furthermore, it is recommended RAN2 start to study the mobility without GNSS design after RAN1 has some agreements.</w:t>
      </w:r>
    </w:p>
    <w:p w14:paraId="334DB80B">
      <w:pPr>
        <w:pStyle w:val="26"/>
        <w:rPr>
          <w:rFonts w:hint="eastAsia" w:ascii="Times New Roman" w:hAnsi="Times New Roman" w:cs="Times New Roman" w:eastAsiaTheme="minorEastAsia"/>
          <w:i w:val="0"/>
          <w:iCs/>
          <w:sz w:val="20"/>
          <w:szCs w:val="20"/>
          <w14:ligatures w14:val="none"/>
        </w:rPr>
      </w:pPr>
      <w:r>
        <w:rPr>
          <w:rFonts w:hint="eastAsia" w:ascii="Times New Roman" w:hAnsi="Times New Roman" w:cs="Times New Roman" w:eastAsiaTheme="minorEastAsia"/>
          <w:i w:val="0"/>
          <w:iCs/>
          <w:sz w:val="20"/>
          <w:szCs w:val="20"/>
          <w14:ligatures w14:val="none"/>
        </w:rPr>
        <w:t>In the scenario without GNSS, there exists impact</w:t>
      </w:r>
      <w:r>
        <w:rPr>
          <w:rFonts w:hint="eastAsia" w:eastAsiaTheme="minorEastAsia"/>
          <w:i w:val="0"/>
          <w:iCs/>
          <w14:ligatures w14:val="none"/>
        </w:rPr>
        <w:t>s</w:t>
      </w:r>
      <w:r>
        <w:rPr>
          <w:rFonts w:hint="eastAsia" w:ascii="Times New Roman" w:hAnsi="Times New Roman" w:cs="Times New Roman" w:eastAsiaTheme="minorEastAsia"/>
          <w:i w:val="0"/>
          <w:iCs/>
          <w:sz w:val="20"/>
          <w:szCs w:val="20"/>
          <w14:ligatures w14:val="none"/>
        </w:rPr>
        <w:t xml:space="preserve"> on the location-based solution for mobility.</w:t>
      </w:r>
    </w:p>
    <w:p w14:paraId="42C58EC4">
      <w:pPr>
        <w:bidi w:val="0"/>
      </w:pPr>
    </w:p>
    <w:p w14:paraId="24A5FBE9">
      <w:pPr>
        <w:pStyle w:val="5"/>
        <w:numPr>
          <w:ilvl w:val="2"/>
          <w:numId w:val="1"/>
        </w:numPr>
        <w:ind w:left="0" w:hanging="210" w:hangingChars="100"/>
        <w:outlineLvl w:val="2"/>
        <w:rPr>
          <w:rFonts w:hint="eastAsia" w:ascii="Times New Roman" w:hAnsi="Times New Roman" w:eastAsiaTheme="minorEastAsia"/>
        </w:rPr>
      </w:pPr>
      <w:r>
        <w:rPr>
          <w:rFonts w:hint="eastAsia" w:ascii="Times New Roman" w:hAnsi="Times New Roman" w:eastAsiaTheme="minorEastAsia"/>
        </w:rPr>
        <w:t>Multi-beam cell and Beam hopping</w:t>
      </w:r>
    </w:p>
    <w:p w14:paraId="21E31D6D">
      <w:pPr>
        <w:spacing w:before="156" w:after="156"/>
        <w:rPr>
          <w:rFonts w:eastAsiaTheme="minorEastAsia"/>
        </w:rPr>
      </w:pPr>
      <w:r>
        <w:rPr>
          <w:rFonts w:eastAsiaTheme="minorEastAsia"/>
        </w:rPr>
        <w:t>As studied and described in R16 TR38.821</w:t>
      </w:r>
      <w:r>
        <w:rPr>
          <w:rFonts w:hint="eastAsia" w:eastAsiaTheme="minorEastAsia"/>
          <w:lang w:val="en-US" w:eastAsia="zh-CN"/>
        </w:rPr>
        <w:t xml:space="preserve"> </w:t>
      </w:r>
      <w:r>
        <w:rPr>
          <w:rFonts w:eastAsiaTheme="minorEastAsia"/>
        </w:rPr>
        <w:t>[</w:t>
      </w:r>
      <w:r>
        <w:rPr>
          <w:rFonts w:hint="eastAsia" w:eastAsiaTheme="minorEastAsia"/>
        </w:rPr>
        <w:t>2</w:t>
      </w:r>
      <w:r>
        <w:rPr>
          <w:rFonts w:eastAsiaTheme="minorEastAsia"/>
        </w:rPr>
        <w:t>], “Similar to TN, one or several SSB index can be used per PCI to separate SSB transmission on different beams.” We believe that 6G NTN can reuse the designs studied in 5G TN and NTN, whether it is SSB beam or other logical beams newly defined in 6G. As a result, 6G cell deployment can include one-beam cell and multi-beam cell.</w:t>
      </w:r>
      <w:r>
        <w:rPr>
          <w:rFonts w:hint="eastAsia" w:eastAsiaTheme="minorEastAsia"/>
        </w:rPr>
        <w:t xml:space="preserve"> For m</w:t>
      </w:r>
      <w:r>
        <w:rPr>
          <w:rFonts w:eastAsiaTheme="minorEastAsia"/>
        </w:rPr>
        <w:t>ulti-beam cell</w:t>
      </w:r>
      <w:r>
        <w:rPr>
          <w:rFonts w:hint="eastAsia" w:eastAsiaTheme="minorEastAsia"/>
        </w:rPr>
        <w:t xml:space="preserve"> as shown below, t</w:t>
      </w:r>
      <w:r>
        <w:rPr>
          <w:rFonts w:eastAsiaTheme="minorEastAsia"/>
        </w:rPr>
        <w:t xml:space="preserve">he cell consists of multiple logical beams with beam sweeping within a cell as in Figure </w:t>
      </w:r>
      <w:r>
        <w:rPr>
          <w:rFonts w:hint="eastAsia" w:eastAsiaTheme="minorEastAsia"/>
        </w:rPr>
        <w:t>1</w:t>
      </w:r>
      <w:r>
        <w:rPr>
          <w:rFonts w:eastAsiaTheme="minorEastAsia"/>
        </w:rPr>
        <w:t xml:space="preserve">. </w:t>
      </w:r>
    </w:p>
    <w:p w14:paraId="20ECAA21">
      <w:pPr>
        <w:spacing w:before="156" w:after="156"/>
        <w:jc w:val="center"/>
        <w:rPr>
          <w:rFonts w:eastAsiaTheme="minorEastAsia"/>
        </w:rPr>
      </w:pPr>
      <w:r>
        <w:rPr>
          <w:rFonts w:hint="eastAsia" w:eastAsiaTheme="minorEastAsia"/>
        </w:rPr>
        <w:object>
          <v:shape id="_x0000_i1025" o:spt="75" type="#_x0000_t75" style="height:209.75pt;width:270.5pt;" o:ole="t" filled="f" o:preferrelative="t" stroked="f" coordsize="21600,21600">
            <v:path/>
            <v:fill on="f" focussize="0,0"/>
            <v:stroke on="f" joinstyle="miter"/>
            <v:imagedata r:id="rId12" o:title=""/>
            <o:lock v:ext="edit" aspectratio="f"/>
            <w10:wrap type="none"/>
            <w10:anchorlock/>
          </v:shape>
          <o:OLEObject Type="Embed" ProgID="Visio.Drawing.15" ShapeID="_x0000_i1025" DrawAspect="Content" ObjectID="_1468075725" r:id="rId11">
            <o:LockedField>false</o:LockedField>
          </o:OLEObject>
        </w:object>
      </w:r>
    </w:p>
    <w:p w14:paraId="32476B10">
      <w:pPr>
        <w:spacing w:before="156" w:after="156"/>
        <w:jc w:val="center"/>
        <w:rPr>
          <w:rFonts w:eastAsiaTheme="minorEastAsia"/>
        </w:rPr>
      </w:pPr>
      <w:r>
        <w:rPr>
          <w:rFonts w:hint="eastAsia" w:eastAsiaTheme="minorEastAsia"/>
        </w:rPr>
        <w:t>Figure 1: M</w:t>
      </w:r>
      <w:r>
        <w:rPr>
          <w:rFonts w:eastAsiaTheme="minorEastAsia"/>
        </w:rPr>
        <w:t>ulti-beam</w:t>
      </w:r>
      <w:r>
        <w:t xml:space="preserve"> cell</w:t>
      </w:r>
    </w:p>
    <w:p w14:paraId="03F841E3">
      <w:pPr>
        <w:spacing w:before="0" w:beforeLines="0" w:after="0" w:afterLines="0"/>
        <w:rPr>
          <w:rFonts w:eastAsia="宋体"/>
          <w:color w:val="000000" w:themeColor="text1"/>
          <w14:textFill>
            <w14:solidFill>
              <w14:schemeClr w14:val="tx1"/>
            </w14:solidFill>
          </w14:textFill>
        </w:rPr>
      </w:pPr>
      <w:r>
        <w:rPr>
          <w:rFonts w:eastAsia="宋体"/>
        </w:rPr>
        <w:t>I</w:t>
      </w:r>
      <w:r>
        <w:rPr>
          <w:rFonts w:hint="eastAsia" w:eastAsia="宋体"/>
        </w:rPr>
        <w:t xml:space="preserve">n multi-beam cell, it is worth noted that the shape of the cell may have irregular shape (i.e. </w:t>
      </w:r>
      <w:r>
        <w:rPr>
          <w:rFonts w:eastAsia="宋体"/>
        </w:rPr>
        <w:t>non-circular</w:t>
      </w:r>
      <w:r>
        <w:rPr>
          <w:rFonts w:hint="eastAsia" w:eastAsia="宋体"/>
        </w:rPr>
        <w:t xml:space="preserve">) due to the inclusion of </w:t>
      </w:r>
      <w:r>
        <w:rPr>
          <w:rFonts w:eastAsia="宋体"/>
        </w:rPr>
        <w:t xml:space="preserve">multiple circular beams within </w:t>
      </w:r>
      <w:r>
        <w:rPr>
          <w:rFonts w:hint="eastAsia" w:eastAsia="宋体"/>
        </w:rPr>
        <w:t>it</w:t>
      </w:r>
      <w:r>
        <w:rPr>
          <w:rFonts w:eastAsia="宋体"/>
        </w:rPr>
        <w:t>.</w:t>
      </w:r>
      <w:r>
        <w:rPr>
          <w:rFonts w:hint="eastAsia" w:eastAsia="宋体"/>
        </w:rPr>
        <w:t xml:space="preserve"> </w:t>
      </w:r>
      <w:r>
        <w:rPr>
          <w:rFonts w:eastAsia="宋体"/>
        </w:rPr>
        <w:t xml:space="preserve">As illustrated in the </w:t>
      </w:r>
      <w:r>
        <w:rPr>
          <w:rFonts w:hint="eastAsia" w:eastAsia="宋体"/>
        </w:rPr>
        <w:t>F</w:t>
      </w:r>
      <w:r>
        <w:rPr>
          <w:rFonts w:eastAsia="宋体"/>
        </w:rPr>
        <w:t>igure</w:t>
      </w:r>
      <w:r>
        <w:rPr>
          <w:rFonts w:hint="eastAsia" w:eastAsia="宋体"/>
        </w:rPr>
        <w:t xml:space="preserve"> 2</w:t>
      </w:r>
      <w:r>
        <w:rPr>
          <w:rFonts w:eastAsia="宋体"/>
        </w:rPr>
        <w:t xml:space="preserve"> below, taking</w:t>
      </w:r>
      <w:r>
        <w:rPr>
          <w:rFonts w:hint="eastAsia" w:eastAsia="宋体"/>
        </w:rPr>
        <w:t xml:space="preserve"> multiple beams </w:t>
      </w:r>
      <w:r>
        <w:rPr>
          <w:rFonts w:eastAsia="宋体"/>
        </w:rPr>
        <w:t xml:space="preserve">as an example, the cell is difficult to deploy as a perfect circle and is more likely to be shaped as an approximate polygon. Furthermore, in practical </w:t>
      </w:r>
      <w:r>
        <w:rPr>
          <w:rFonts w:hint="eastAsia" w:eastAsia="宋体"/>
        </w:rPr>
        <w:t xml:space="preserve">NTN </w:t>
      </w:r>
      <w:r>
        <w:rPr>
          <w:rFonts w:eastAsia="宋体"/>
        </w:rPr>
        <w:t xml:space="preserve">deployment, the </w:t>
      </w:r>
      <w:r>
        <w:rPr>
          <w:rFonts w:hint="eastAsia" w:eastAsia="宋体"/>
        </w:rPr>
        <w:t xml:space="preserve">NTN </w:t>
      </w:r>
      <w:r>
        <w:rPr>
          <w:rFonts w:eastAsia="宋体"/>
        </w:rPr>
        <w:t xml:space="preserve">cell coverage area </w:t>
      </w:r>
      <w:r>
        <w:rPr>
          <w:rFonts w:hint="eastAsia" w:eastAsia="宋体"/>
        </w:rPr>
        <w:t>should</w:t>
      </w:r>
      <w:r>
        <w:rPr>
          <w:rFonts w:eastAsia="宋体"/>
        </w:rPr>
        <w:t xml:space="preserve"> take into account for </w:t>
      </w:r>
      <w:r>
        <w:rPr>
          <w:rFonts w:hint="eastAsia" w:eastAsia="宋体"/>
        </w:rPr>
        <w:t>national</w:t>
      </w:r>
      <w:r>
        <w:rPr>
          <w:rFonts w:eastAsia="宋体"/>
        </w:rPr>
        <w:t xml:space="preserve"> boundaries</w:t>
      </w:r>
      <w:r>
        <w:rPr>
          <w:rFonts w:hint="eastAsia" w:eastAsia="宋体"/>
        </w:rPr>
        <w:t xml:space="preserve"> constraints</w:t>
      </w:r>
      <w:r>
        <w:rPr>
          <w:rFonts w:eastAsia="宋体"/>
        </w:rPr>
        <w:t xml:space="preserve">. Therefore, </w:t>
      </w:r>
      <w:r>
        <w:rPr>
          <w:rFonts w:hint="eastAsia"/>
        </w:rPr>
        <w:t xml:space="preserve">6G NTN should </w:t>
      </w:r>
      <w:r>
        <w:rPr>
          <w:rFonts w:hint="eastAsia" w:eastAsia="宋体"/>
        </w:rPr>
        <w:t>study on</w:t>
      </w:r>
      <w:r>
        <w:rPr>
          <w:rFonts w:eastAsia="宋体"/>
        </w:rPr>
        <w:t xml:space="preserve"> </w:t>
      </w:r>
      <w:r>
        <w:rPr>
          <w:rFonts w:hint="eastAsia" w:eastAsia="宋体"/>
        </w:rPr>
        <w:t xml:space="preserve">the impact with </w:t>
      </w:r>
      <w:r>
        <w:rPr>
          <w:rFonts w:eastAsia="宋体"/>
        </w:rPr>
        <w:t xml:space="preserve">the </w:t>
      </w:r>
      <w:r>
        <w:rPr>
          <w:rFonts w:hint="eastAsia" w:eastAsia="宋体"/>
        </w:rPr>
        <w:t xml:space="preserve">irregular </w:t>
      </w:r>
      <w:r>
        <w:rPr>
          <w:rFonts w:eastAsia="宋体"/>
        </w:rPr>
        <w:t>shape of NTN cells</w:t>
      </w:r>
      <w:r>
        <w:rPr>
          <w:rFonts w:hint="eastAsia" w:eastAsia="宋体"/>
        </w:rPr>
        <w:t>.</w:t>
      </w:r>
      <w:r>
        <w:rPr>
          <w:rFonts w:hint="eastAsia" w:eastAsia="宋体"/>
          <w:color w:val="000000" w:themeColor="text1"/>
          <w14:textFill>
            <w14:solidFill>
              <w14:schemeClr w14:val="tx1"/>
            </w14:solidFill>
          </w14:textFill>
        </w:rPr>
        <w:t xml:space="preserve"> </w:t>
      </w:r>
    </w:p>
    <w:p w14:paraId="13CB42BC">
      <w:pPr>
        <w:spacing w:before="156" w:after="156"/>
        <w:jc w:val="left"/>
        <w:rPr>
          <w:rFonts w:eastAsia="宋体"/>
          <w:highlight w:val="yellow"/>
        </w:rPr>
      </w:pPr>
      <w:r>
        <w:object>
          <v:shape id="_x0000_i1026" o:spt="75" type="#_x0000_t75" style="height:109.05pt;width:414.95pt;" o:ole="t" filled="f" o:preferrelative="t" stroked="f" coordsize="21600,21600">
            <v:path/>
            <v:fill on="f" focussize="0,0"/>
            <v:stroke on="f" joinstyle="miter"/>
            <v:imagedata r:id="rId14" o:title=""/>
            <o:lock v:ext="edit" aspectratio="f"/>
            <w10:wrap type="none"/>
            <w10:anchorlock/>
          </v:shape>
          <o:OLEObject Type="Embed" ProgID="Visio.Drawing.11" ShapeID="_x0000_i1026" DrawAspect="Content" ObjectID="_1468075726" r:id="rId13">
            <o:LockedField>false</o:LockedField>
          </o:OLEObject>
        </w:object>
      </w:r>
    </w:p>
    <w:p w14:paraId="77CBE96E">
      <w:pPr>
        <w:spacing w:before="156" w:after="156"/>
        <w:jc w:val="center"/>
        <w:rPr>
          <w:rFonts w:eastAsia="宋体"/>
        </w:rPr>
      </w:pPr>
      <w:r>
        <w:rPr>
          <w:rFonts w:hint="eastAsia" w:eastAsia="宋体"/>
        </w:rPr>
        <w:t>Figure 2: I</w:t>
      </w:r>
      <w:r>
        <w:rPr>
          <w:rFonts w:eastAsia="宋体"/>
        </w:rPr>
        <w:t xml:space="preserve">rregularly </w:t>
      </w:r>
      <w:r>
        <w:rPr>
          <w:rFonts w:hint="eastAsia" w:eastAsia="宋体"/>
        </w:rPr>
        <w:t>cell deployment with multiple beams</w:t>
      </w:r>
    </w:p>
    <w:p w14:paraId="72179849">
      <w:pPr>
        <w:spacing w:before="0" w:beforeLines="0" w:after="0" w:afterLines="0"/>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 xml:space="preserve">It is particularly important to reduce the neighbor cell configuration and the measurement complexity of UEs in NTN cells with beam hopping. If neighbor cell configuration is performed at the entire cell level, it will increase the complexity of neighbor cell search and measurement for UEs, which is not conducive to UE power saving. Therefore, 6G NTN mobility should try to reduce the complexity of neighbor cell search and measurement for UEs. </w:t>
      </w:r>
    </w:p>
    <w:p w14:paraId="51762222">
      <w:pPr>
        <w:pStyle w:val="26"/>
        <w:rPr>
          <w:rFonts w:hint="eastAsia" w:ascii="Times New Roman" w:hAnsi="Times New Roman" w:cs="Times New Roman" w:eastAsiaTheme="minorEastAsia"/>
          <w:i w:val="0"/>
          <w:iCs/>
          <w:sz w:val="20"/>
          <w:szCs w:val="20"/>
          <w14:ligatures w14:val="none"/>
        </w:rPr>
      </w:pPr>
      <w:r>
        <w:rPr>
          <w:rFonts w:hint="eastAsia" w:ascii="Times New Roman" w:hAnsi="Times New Roman" w:cs="Times New Roman" w:eastAsiaTheme="minorEastAsia"/>
          <w:i w:val="0"/>
          <w:iCs/>
          <w:sz w:val="20"/>
          <w:szCs w:val="20"/>
          <w14:ligatures w14:val="none"/>
        </w:rPr>
        <w:t>In the scenario</w:t>
      </w:r>
      <w:r>
        <w:rPr>
          <w:rFonts w:hint="eastAsia" w:ascii="Times New Roman" w:hAnsi="Times New Roman" w:cs="Times New Roman" w:eastAsiaTheme="minorEastAsia"/>
          <w:i w:val="0"/>
          <w:iCs/>
          <w:sz w:val="20"/>
          <w:szCs w:val="20"/>
          <w:lang w:val="en-US" w:eastAsia="zh-CN"/>
          <w14:ligatures w14:val="none"/>
        </w:rPr>
        <w:t xml:space="preserve"> of multi-beam and beam hopping, it may impact neighbour cell search and measurement due to irregularly cell coverage.</w:t>
      </w:r>
    </w:p>
    <w:p w14:paraId="6309B9B0">
      <w:pPr>
        <w:bidi w:val="0"/>
      </w:pPr>
    </w:p>
    <w:p w14:paraId="6FC3F620">
      <w:pPr>
        <w:pStyle w:val="5"/>
        <w:numPr>
          <w:ilvl w:val="2"/>
          <w:numId w:val="1"/>
        </w:numPr>
        <w:ind w:left="0" w:hanging="210" w:hangingChars="100"/>
        <w:outlineLvl w:val="2"/>
        <w:rPr>
          <w:rFonts w:hint="eastAsia" w:ascii="Times New Roman" w:hAnsi="Times New Roman" w:eastAsiaTheme="minorEastAsia"/>
        </w:rPr>
      </w:pPr>
      <w:r>
        <w:rPr>
          <w:rFonts w:hint="eastAsia" w:ascii="Times New Roman" w:hAnsi="Times New Roman" w:eastAsiaTheme="minorEastAsia"/>
        </w:rPr>
        <w:t>Multi-orbit collaboration</w:t>
      </w:r>
    </w:p>
    <w:p w14:paraId="00A8B37E">
      <w:pPr>
        <w:spacing w:before="156" w:after="156"/>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The scenario of NTN Multi-orbit collaboration should be recognized as a NTN specific requirement. Multi-orbit scenario includes mobility issues related to such as multi-orbit coordination and multi-orbit interference/avoidance. These involve how to achieve the rapid establishment of services and ensure service continuity through collaboration between multiple orbits, frequency interference and occlusion interference between multiple orbits, etc.</w:t>
      </w:r>
    </w:p>
    <w:p w14:paraId="0C7BB8D0">
      <w:pPr>
        <w:spacing w:before="156" w:after="156"/>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Multi-orbit coordination: This involves the rapid establishment of services and the assurance of service continuity and seamlessness through collaboration among multiple orbits. For instance, a UE may access from a higher layer orbit satellite to reduce signalling overhead and switch to a lower layer orbit satellite during data transmission, thus avoiding energy consumption issues caused by frequent inter-satellite handovers..</w:t>
      </w:r>
    </w:p>
    <w:p w14:paraId="2E111BA0">
      <w:pPr>
        <w:spacing w:before="156" w:after="156"/>
        <w:rPr>
          <w:rFonts w:eastAsia="宋体"/>
        </w:rPr>
      </w:pPr>
      <w:r>
        <w:rPr>
          <w:rFonts w:hint="eastAsia" w:eastAsia="宋体"/>
          <w:color w:val="000000" w:themeColor="text1"/>
          <w14:textFill>
            <w14:solidFill>
              <w14:schemeClr w14:val="tx1"/>
            </w14:solidFill>
          </w14:textFill>
        </w:rPr>
        <w:t xml:space="preserve">Multi-orbit interference and avoidance: </w:t>
      </w:r>
      <w:r>
        <w:rPr>
          <w:rFonts w:hint="eastAsia" w:eastAsia="宋体"/>
        </w:rPr>
        <w:t>A</w:t>
      </w:r>
      <w:r>
        <w:rPr>
          <w:rFonts w:eastAsia="宋体"/>
        </w:rPr>
        <w:t xml:space="preserve"> prerequisite for this is </w:t>
      </w:r>
      <w:r>
        <w:rPr>
          <w:rFonts w:hint="eastAsia" w:eastAsia="宋体"/>
        </w:rPr>
        <w:t>NGSO</w:t>
      </w:r>
      <w:r>
        <w:rPr>
          <w:rFonts w:eastAsia="宋体"/>
        </w:rPr>
        <w:t xml:space="preserve"> compliance with an ITU regulation</w:t>
      </w:r>
      <w:r>
        <w:rPr>
          <w:rFonts w:hint="eastAsia" w:eastAsia="宋体"/>
        </w:rPr>
        <w:t xml:space="preserve"> a</w:t>
      </w:r>
      <w:r>
        <w:rPr>
          <w:rFonts w:hint="eastAsia"/>
        </w:rPr>
        <w:t xml:space="preserve">s defined in </w:t>
      </w:r>
      <w:r>
        <w:rPr>
          <w:rFonts w:hint="eastAsia" w:eastAsia="宋体"/>
        </w:rPr>
        <w:t xml:space="preserve">TR38.821 [2].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2"/>
      </w:tblGrid>
      <w:tr w14:paraId="0BDDA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2" w:type="dxa"/>
          </w:tcPr>
          <w:p w14:paraId="615DA476">
            <w:pPr>
              <w:spacing w:before="156" w:after="156"/>
            </w:pPr>
            <w:r>
              <w:t>In the ITU Radio Regulations (ITU, 2016) the interference to any GEO network caused by a NGSO system is strictly constrained. One restriction to the system is that a NGSO system shall not cause unacceptable interference into any GEO network in the fixed satellite service for uplink and downlink in the same frequency (in-line interference), shown in Figure C-1</w:t>
            </w:r>
            <w:r>
              <w:rPr>
                <w:rFonts w:hint="eastAsia" w:eastAsia="宋体"/>
              </w:rPr>
              <w:t xml:space="preserve"> (i.e. Figure 6)</w:t>
            </w:r>
            <w:r>
              <w:t xml:space="preserve">. For that reason, (ITU, 2016) limits the maximum equivalent power flux densities (EPFD) of the NGSO system to values which are not sufficient to enable satellite communication. </w:t>
            </w:r>
          </w:p>
          <w:p w14:paraId="607B2CD0">
            <w:pPr>
              <w:spacing w:before="156" w:after="156"/>
              <w:rPr>
                <w:rFonts w:eastAsia="宋体"/>
              </w:rPr>
            </w:pPr>
            <w:r>
              <w:rPr>
                <w:rFonts w:hint="eastAsia" w:eastAsia="宋体"/>
              </w:rPr>
              <w:t>...</w:t>
            </w:r>
          </w:p>
          <w:p w14:paraId="7073219E">
            <w:pPr>
              <w:spacing w:before="156" w:after="156"/>
              <w:rPr>
                <w:rFonts w:eastAsia="宋体"/>
              </w:rPr>
            </w:pPr>
            <w:r>
              <w:rPr>
                <w:rFonts w:hint="eastAsia" w:eastAsia="宋体"/>
              </w:rPr>
              <w:t xml:space="preserve">So </w:t>
            </w:r>
            <w:r>
              <w:t xml:space="preserve">the downlink signal from a NGSO satellite is interfering a GEO receive station on earth. The satellite beam pointing towards the GEO ground station has either to be steered to another direction or has to be switched off completely. </w:t>
            </w:r>
          </w:p>
        </w:tc>
      </w:tr>
    </w:tbl>
    <w:p w14:paraId="51488EBB">
      <w:pPr>
        <w:spacing w:before="156" w:after="156"/>
        <w:jc w:val="center"/>
      </w:pPr>
      <w:r>
        <w:drawing>
          <wp:inline distT="0" distB="0" distL="114300" distR="114300">
            <wp:extent cx="3781425" cy="3065780"/>
            <wp:effectExtent l="0" t="0" r="13335" b="12700"/>
            <wp:docPr id="530175531" name="图片 530175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175531" name="图片 530175531"/>
                    <pic:cNvPicPr>
                      <a:picLocks noChangeAspect="1"/>
                    </pic:cNvPicPr>
                  </pic:nvPicPr>
                  <pic:blipFill>
                    <a:blip r:embed="rId15"/>
                    <a:stretch>
                      <a:fillRect/>
                    </a:stretch>
                  </pic:blipFill>
                  <pic:spPr>
                    <a:xfrm>
                      <a:off x="0" y="0"/>
                      <a:ext cx="3781425" cy="3065780"/>
                    </a:xfrm>
                    <a:prstGeom prst="rect">
                      <a:avLst/>
                    </a:prstGeom>
                    <a:noFill/>
                    <a:ln>
                      <a:noFill/>
                    </a:ln>
                  </pic:spPr>
                </pic:pic>
              </a:graphicData>
            </a:graphic>
          </wp:inline>
        </w:drawing>
      </w:r>
    </w:p>
    <w:p w14:paraId="679871CD">
      <w:pPr>
        <w:spacing w:before="156" w:after="156"/>
        <w:jc w:val="center"/>
      </w:pPr>
      <w:r>
        <w:rPr>
          <w:rFonts w:hint="eastAsia"/>
        </w:rPr>
        <w:t xml:space="preserve">Figure </w:t>
      </w:r>
      <w:r>
        <w:rPr>
          <w:rFonts w:hint="eastAsia" w:eastAsiaTheme="minorEastAsia"/>
        </w:rPr>
        <w:t>3</w:t>
      </w:r>
      <w:r>
        <w:rPr>
          <w:rFonts w:hint="eastAsia"/>
        </w:rPr>
        <w:t xml:space="preserve">: </w:t>
      </w:r>
      <w:bookmarkStart w:id="3" w:name="_Hlk210121999"/>
      <w:r>
        <w:rPr>
          <w:rFonts w:hint="eastAsia"/>
        </w:rPr>
        <w:t>In-line interference</w:t>
      </w:r>
      <w:bookmarkEnd w:id="3"/>
      <w:r>
        <w:rPr>
          <w:rFonts w:hint="eastAsia"/>
        </w:rPr>
        <w:t xml:space="preserve"> caused by NGSO systems (MEO or LEO)</w:t>
      </w:r>
    </w:p>
    <w:p w14:paraId="795879C8">
      <w:pPr>
        <w:spacing w:before="156" w:after="156"/>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To fulfill the interference avoidance principles of the GSO, the coverage of a NGSO will be incomplete, which means there will be some service blind zones within the serving cell. Before entering a service blind zone, the UE should switch or reselect to another neighboring cell to maintain service continuity. However, the position of these blind zones on the ground changes as the NGSO satellite moves, and the UE is unaware of when it will be affected by it. It is recommended RAN2 to specify enhance mobility management processes such as handover, reestablishment, and cell reselection for this scenario.</w:t>
      </w:r>
    </w:p>
    <w:p w14:paraId="4E8E46C3">
      <w:pPr>
        <w:pStyle w:val="26"/>
        <w:rPr>
          <w:rFonts w:hint="eastAsia" w:ascii="Times New Roman" w:hAnsi="Times New Roman" w:cs="Times New Roman" w:eastAsiaTheme="minorEastAsia"/>
          <w:i w:val="0"/>
          <w:iCs/>
          <w:sz w:val="20"/>
          <w:szCs w:val="20"/>
          <w14:ligatures w14:val="none"/>
        </w:rPr>
      </w:pPr>
      <w:r>
        <w:rPr>
          <w:rFonts w:hint="eastAsia" w:ascii="Times New Roman" w:hAnsi="Times New Roman" w:cs="Times New Roman" w:eastAsiaTheme="minorEastAsia"/>
          <w:i w:val="0"/>
          <w:iCs/>
          <w:sz w:val="20"/>
          <w:szCs w:val="20"/>
          <w14:ligatures w14:val="none"/>
        </w:rPr>
        <w:t>In the scenario of multi-orbit coordination, in-line interference between GEO and NGSO should</w:t>
      </w:r>
      <w:r>
        <w:rPr>
          <w:rFonts w:hint="eastAsia" w:cs="Times New Roman" w:eastAsiaTheme="minorEastAsia"/>
          <w:i w:val="0"/>
          <w:iCs/>
          <w:sz w:val="20"/>
          <w:szCs w:val="20"/>
          <w:lang w:val="en-US" w:eastAsia="zh-CN"/>
          <w14:ligatures w14:val="none"/>
        </w:rPr>
        <w:t xml:space="preserve"> also</w:t>
      </w:r>
      <w:r>
        <w:rPr>
          <w:rFonts w:hint="eastAsia" w:ascii="Times New Roman" w:hAnsi="Times New Roman" w:cs="Times New Roman" w:eastAsiaTheme="minorEastAsia"/>
          <w:i w:val="0"/>
          <w:iCs/>
          <w:sz w:val="20"/>
          <w:szCs w:val="20"/>
          <w14:ligatures w14:val="none"/>
        </w:rPr>
        <w:t xml:space="preserve"> be considered in 6G mobility. </w:t>
      </w:r>
    </w:p>
    <w:p w14:paraId="0D996835">
      <w:pPr>
        <w:bidi w:val="0"/>
      </w:pPr>
    </w:p>
    <w:p w14:paraId="47A6D0D5">
      <w:pPr>
        <w:pStyle w:val="5"/>
        <w:numPr>
          <w:ilvl w:val="2"/>
          <w:numId w:val="1"/>
        </w:numPr>
        <w:ind w:left="0" w:hanging="210" w:hangingChars="100"/>
        <w:outlineLvl w:val="2"/>
        <w:rPr>
          <w:rFonts w:hint="eastAsia" w:ascii="Times New Roman" w:hAnsi="Times New Roman" w:eastAsiaTheme="minorEastAsia"/>
        </w:rPr>
      </w:pPr>
      <w:r>
        <w:rPr>
          <w:rFonts w:hint="eastAsia" w:ascii="Times New Roman" w:hAnsi="Times New Roman" w:eastAsiaTheme="minorEastAsia"/>
        </w:rPr>
        <w:t>TN-NTN coordination</w:t>
      </w:r>
    </w:p>
    <w:p w14:paraId="63E8D1C4">
      <w:pPr>
        <w:spacing w:before="156" w:after="156"/>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In the 5G NTN, TN-NTN mobility introduced some enhancements including cell reslection, cell redirection and handover.</w:t>
      </w:r>
    </w:p>
    <w:p w14:paraId="49C4D91A">
      <w:pPr>
        <w:spacing w:before="156" w:after="156"/>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 xml:space="preserve">In the mobility management between 6G NTN-NTN/NTN-TN, it is necessary to consider that the beam coverage of NTN is much larger than that of TN, and there are also obvious differences in beam sizes between different NTN systems. This results in an NTN cell having many TN neighboring cells (or a high-orbit NTN cell having many low-orbit NTN neighboring cells). </w:t>
      </w:r>
    </w:p>
    <w:p w14:paraId="1905F994">
      <w:pPr>
        <w:spacing w:before="156" w:after="156"/>
        <w:rPr>
          <w:rFonts w:hint="eastAsia"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 xml:space="preserve">For idle mode mobility, according to the current mechanism, the network cannot accurately describe the neighboring cell configurations of different sub-areas within NTN cell in broadcast information, and redundancy neighboring cell configurations will lead to UEs to perform unnecessary neighboring cell searches and measurements. For connected mode mobility, Inaccurate neighboring cell configurations and measurement gap should be avoided (especially inter-frequency neighboring cells). Therefore, it is recommended to study whether the 5G NTN-NTN/TN-NTN mechanism can be reuse in 6G NTN. </w:t>
      </w:r>
    </w:p>
    <w:p w14:paraId="332B02EC">
      <w:pPr>
        <w:pStyle w:val="26"/>
        <w:rPr>
          <w:rFonts w:hint="eastAsia" w:ascii="Times New Roman" w:hAnsi="Times New Roman" w:cs="Times New Roman" w:eastAsiaTheme="minorEastAsia"/>
          <w:i w:val="0"/>
          <w:iCs/>
          <w:sz w:val="20"/>
          <w:szCs w:val="20"/>
          <w14:ligatures w14:val="none"/>
        </w:rPr>
      </w:pPr>
      <w:r>
        <w:rPr>
          <w:rFonts w:hint="eastAsia" w:ascii="Times New Roman" w:hAnsi="Times New Roman" w:cs="Times New Roman" w:eastAsiaTheme="minorEastAsia"/>
          <w:i w:val="0"/>
          <w:iCs/>
          <w:sz w:val="20"/>
          <w:szCs w:val="20"/>
          <w14:ligatures w14:val="none"/>
        </w:rPr>
        <w:t xml:space="preserve">In the scenario of TN-NTN coordination, the motivation for 5G TN-NTN mobility enhancement still exists in 6G. </w:t>
      </w:r>
    </w:p>
    <w:p w14:paraId="16FAF84D">
      <w:pPr>
        <w:pStyle w:val="21"/>
        <w:spacing w:before="156" w:after="156"/>
      </w:pPr>
      <w:r>
        <w:rPr>
          <w:rFonts w:hint="eastAsia"/>
        </w:rPr>
        <w:t>RAN2 to consider the following usecases in 6G NTN mobility:</w:t>
      </w:r>
    </w:p>
    <w:p w14:paraId="52F427C0">
      <w:pPr>
        <w:pStyle w:val="22"/>
        <w:spacing w:before="156" w:after="156"/>
        <w:rPr>
          <w:rFonts w:eastAsiaTheme="minorEastAsia"/>
        </w:rPr>
      </w:pPr>
      <w:r>
        <w:rPr>
          <w:rFonts w:hint="eastAsia" w:eastAsiaTheme="minorEastAsia"/>
        </w:rPr>
        <w:t>GNSS free</w:t>
      </w:r>
    </w:p>
    <w:p w14:paraId="617660F0">
      <w:pPr>
        <w:pStyle w:val="22"/>
        <w:spacing w:before="156" w:after="156"/>
        <w:rPr>
          <w:rFonts w:eastAsiaTheme="minorEastAsia"/>
        </w:rPr>
      </w:pPr>
      <w:r>
        <w:rPr>
          <w:rFonts w:hint="eastAsia" w:eastAsiaTheme="minorEastAsia"/>
        </w:rPr>
        <w:t>Beam hopping</w:t>
      </w:r>
    </w:p>
    <w:p w14:paraId="489DC8D0">
      <w:pPr>
        <w:pStyle w:val="22"/>
        <w:spacing w:before="156" w:after="156"/>
        <w:rPr>
          <w:rFonts w:eastAsiaTheme="minorEastAsia"/>
        </w:rPr>
      </w:pPr>
      <w:r>
        <w:rPr>
          <w:rFonts w:hint="eastAsia" w:eastAsiaTheme="minorEastAsia"/>
        </w:rPr>
        <w:t>Multi-orbit</w:t>
      </w:r>
    </w:p>
    <w:p w14:paraId="682DBD49">
      <w:pPr>
        <w:pStyle w:val="22"/>
        <w:spacing w:before="156" w:after="156"/>
        <w:rPr>
          <w:rFonts w:eastAsiaTheme="minorEastAsia"/>
        </w:rPr>
      </w:pPr>
      <w:r>
        <w:rPr>
          <w:rFonts w:hint="eastAsia" w:eastAsiaTheme="minorEastAsia"/>
        </w:rPr>
        <w:t>TN-NTN coordination</w:t>
      </w:r>
    </w:p>
    <w:p w14:paraId="6B929216">
      <w:pPr>
        <w:pBdr>
          <w:bottom w:val="single" w:color="auto" w:sz="12" w:space="1"/>
        </w:pBdr>
        <w:spacing w:before="156" w:after="156"/>
        <w:rPr>
          <w:rFonts w:eastAsiaTheme="minorEastAsia"/>
        </w:rPr>
      </w:pPr>
    </w:p>
    <w:p w14:paraId="25BEC595">
      <w:pPr>
        <w:pStyle w:val="2"/>
        <w:numPr>
          <w:ilvl w:val="0"/>
          <w:numId w:val="1"/>
        </w:numPr>
        <w:spacing w:before="0" w:beforeLines="0" w:after="156"/>
        <w:rPr>
          <w:rFonts w:eastAsia="宋体"/>
          <w:sz w:val="28"/>
          <w:szCs w:val="28"/>
        </w:rPr>
      </w:pPr>
      <w:r>
        <w:rPr>
          <w:rFonts w:hint="eastAsia" w:eastAsia="宋体"/>
          <w:sz w:val="28"/>
          <w:szCs w:val="28"/>
        </w:rPr>
        <w:t>Conclusion</w:t>
      </w:r>
    </w:p>
    <w:p w14:paraId="4FE918C2">
      <w:pPr>
        <w:pStyle w:val="10"/>
        <w:tabs>
          <w:tab w:val="right" w:leader="dot" w:pos="9356"/>
          <w:tab w:val="clear" w:pos="1260"/>
          <w:tab w:val="clear" w:pos="9346"/>
        </w:tabs>
        <w:rPr>
          <w:i w:val="0"/>
          <w:iCs w:val="0"/>
        </w:rPr>
      </w:pPr>
      <w:r>
        <w:rPr>
          <w:rFonts w:eastAsiaTheme="minorEastAsia"/>
          <w:i w:val="0"/>
          <w:iCs w:val="0"/>
        </w:rPr>
        <w:fldChar w:fldCharType="begin"/>
      </w:r>
      <w:r>
        <w:rPr>
          <w:rFonts w:eastAsiaTheme="minorEastAsia"/>
          <w:i w:val="0"/>
          <w:iCs w:val="0"/>
        </w:rPr>
        <w:instrText xml:space="preserve"> </w:instrText>
      </w:r>
      <w:r>
        <w:rPr>
          <w:rFonts w:hint="eastAsia" w:eastAsiaTheme="minorEastAsia"/>
          <w:i w:val="0"/>
          <w:iCs w:val="0"/>
        </w:rPr>
        <w:instrText xml:space="preserve">TOC \n \t "1st-ob-YJ,1,2nd-ob-YJ,2,3nd-ob-YJ,3"</w:instrText>
      </w:r>
      <w:r>
        <w:rPr>
          <w:rFonts w:eastAsiaTheme="minorEastAsia"/>
          <w:i w:val="0"/>
          <w:iCs w:val="0"/>
        </w:rPr>
        <w:instrText xml:space="preserve"> </w:instrText>
      </w:r>
      <w:r>
        <w:rPr>
          <w:rFonts w:eastAsiaTheme="minorEastAsia"/>
          <w:i w:val="0"/>
          <w:iCs w:val="0"/>
        </w:rPr>
        <w:fldChar w:fldCharType="separate"/>
      </w:r>
      <w:r>
        <w:rPr>
          <w:rFonts w:hint="default" w:ascii="Times New Roman" w:hAnsi="Times New Roman" w:eastAsia="宋体" w:cs="Times New Roman"/>
          <w:i w:val="0"/>
          <w:iCs w:val="0"/>
          <w:caps w:val="0"/>
          <w:strike w:val="0"/>
          <w:dstrike w:val="0"/>
          <w:vanish w:val="0"/>
          <w:color w:val="auto"/>
          <w:szCs w:val="20"/>
          <w:vertAlign w:val="baseline"/>
          <w14:ligatures w14:val="none"/>
        </w:rPr>
        <w:t xml:space="preserve">Observation 1: </w:t>
      </w:r>
      <w:r>
        <w:rPr>
          <w:rFonts w:hint="eastAsia" w:ascii="Times New Roman" w:hAnsi="Times New Roman" w:cs="Times New Roman" w:eastAsiaTheme="minorEastAsia"/>
          <w:i w:val="0"/>
          <w:iCs w:val="0"/>
          <w:szCs w:val="20"/>
          <w14:ligatures w14:val="none"/>
        </w:rPr>
        <w:t>In the scenario without GNSS, there exists impact</w:t>
      </w:r>
      <w:r>
        <w:rPr>
          <w:rFonts w:hint="eastAsia" w:eastAsiaTheme="minorEastAsia"/>
          <w:i w:val="0"/>
          <w:iCs w:val="0"/>
          <w14:ligatures w14:val="none"/>
        </w:rPr>
        <w:t>s</w:t>
      </w:r>
      <w:r>
        <w:rPr>
          <w:rFonts w:hint="eastAsia" w:ascii="Times New Roman" w:hAnsi="Times New Roman" w:cs="Times New Roman" w:eastAsiaTheme="minorEastAsia"/>
          <w:i w:val="0"/>
          <w:iCs w:val="0"/>
          <w:szCs w:val="20"/>
          <w14:ligatures w14:val="none"/>
        </w:rPr>
        <w:t xml:space="preserve"> on the location-based solution for mobility.</w:t>
      </w:r>
    </w:p>
    <w:p w14:paraId="73D021AF">
      <w:pPr>
        <w:pStyle w:val="10"/>
        <w:tabs>
          <w:tab w:val="right" w:leader="dot" w:pos="9356"/>
          <w:tab w:val="clear" w:pos="1260"/>
          <w:tab w:val="clear" w:pos="9346"/>
        </w:tabs>
        <w:rPr>
          <w:i w:val="0"/>
          <w:iCs w:val="0"/>
        </w:rPr>
      </w:pPr>
      <w:r>
        <w:rPr>
          <w:rFonts w:hint="default" w:ascii="Times New Roman" w:hAnsi="Times New Roman" w:eastAsia="宋体" w:cs="Times New Roman"/>
          <w:i w:val="0"/>
          <w:iCs w:val="0"/>
          <w:caps w:val="0"/>
          <w:strike w:val="0"/>
          <w:dstrike w:val="0"/>
          <w:vanish w:val="0"/>
          <w:color w:val="auto"/>
          <w:szCs w:val="20"/>
          <w:vertAlign w:val="baseline"/>
          <w14:ligatures w14:val="none"/>
        </w:rPr>
        <w:t xml:space="preserve">Observation 2: </w:t>
      </w:r>
      <w:r>
        <w:rPr>
          <w:rFonts w:hint="eastAsia" w:ascii="Times New Roman" w:hAnsi="Times New Roman" w:cs="Times New Roman" w:eastAsiaTheme="minorEastAsia"/>
          <w:i w:val="0"/>
          <w:iCs w:val="0"/>
          <w:szCs w:val="20"/>
          <w14:ligatures w14:val="none"/>
        </w:rPr>
        <w:t>In the scenario</w:t>
      </w:r>
      <w:r>
        <w:rPr>
          <w:rFonts w:hint="eastAsia" w:ascii="Times New Roman" w:hAnsi="Times New Roman" w:cs="Times New Roman" w:eastAsiaTheme="minorEastAsia"/>
          <w:i w:val="0"/>
          <w:iCs w:val="0"/>
          <w:szCs w:val="20"/>
          <w:lang w:val="en-US" w:eastAsia="zh-CN"/>
          <w14:ligatures w14:val="none"/>
        </w:rPr>
        <w:t xml:space="preserve"> of multi-beam and beam hopping, it may impact neighbour cell search and measurement due to irregularly cell coverage.</w:t>
      </w:r>
    </w:p>
    <w:p w14:paraId="755CD264">
      <w:pPr>
        <w:pStyle w:val="10"/>
        <w:tabs>
          <w:tab w:val="right" w:leader="dot" w:pos="9356"/>
          <w:tab w:val="clear" w:pos="1260"/>
          <w:tab w:val="clear" w:pos="9346"/>
        </w:tabs>
        <w:rPr>
          <w:i w:val="0"/>
          <w:iCs w:val="0"/>
        </w:rPr>
      </w:pPr>
      <w:r>
        <w:rPr>
          <w:rFonts w:hint="default" w:ascii="Times New Roman" w:hAnsi="Times New Roman" w:eastAsia="宋体" w:cs="Times New Roman"/>
          <w:i w:val="0"/>
          <w:iCs w:val="0"/>
          <w:caps w:val="0"/>
          <w:strike w:val="0"/>
          <w:dstrike w:val="0"/>
          <w:vanish w:val="0"/>
          <w:color w:val="auto"/>
          <w:szCs w:val="20"/>
          <w:vertAlign w:val="baseline"/>
          <w14:ligatures w14:val="none"/>
        </w:rPr>
        <w:t xml:space="preserve">Observation 3: </w:t>
      </w:r>
      <w:r>
        <w:rPr>
          <w:rFonts w:hint="eastAsia" w:ascii="Times New Roman" w:hAnsi="Times New Roman" w:cs="Times New Roman" w:eastAsiaTheme="minorEastAsia"/>
          <w:i w:val="0"/>
          <w:iCs w:val="0"/>
          <w:szCs w:val="20"/>
          <w14:ligatures w14:val="none"/>
        </w:rPr>
        <w:t>In the scenario of multi-orbit coordination, in-line interference between GEO and NGSO should be considered in 6G mobility.</w:t>
      </w:r>
    </w:p>
    <w:p w14:paraId="0A297920">
      <w:pPr>
        <w:pStyle w:val="10"/>
        <w:tabs>
          <w:tab w:val="right" w:leader="dot" w:pos="9356"/>
          <w:tab w:val="clear" w:pos="1260"/>
          <w:tab w:val="clear" w:pos="9346"/>
        </w:tabs>
        <w:rPr>
          <w:i w:val="0"/>
          <w:iCs w:val="0"/>
        </w:rPr>
      </w:pPr>
      <w:r>
        <w:rPr>
          <w:rFonts w:hint="default" w:ascii="Times New Roman" w:hAnsi="Times New Roman" w:eastAsia="宋体" w:cs="Times New Roman"/>
          <w:i w:val="0"/>
          <w:iCs w:val="0"/>
          <w:caps w:val="0"/>
          <w:strike w:val="0"/>
          <w:dstrike w:val="0"/>
          <w:vanish w:val="0"/>
          <w:color w:val="auto"/>
          <w:szCs w:val="20"/>
          <w:vertAlign w:val="baseline"/>
          <w14:ligatures w14:val="none"/>
        </w:rPr>
        <w:t xml:space="preserve">Observation 4: </w:t>
      </w:r>
      <w:r>
        <w:rPr>
          <w:rFonts w:hint="eastAsia" w:ascii="Times New Roman" w:hAnsi="Times New Roman" w:cs="Times New Roman" w:eastAsiaTheme="minorEastAsia"/>
          <w:i w:val="0"/>
          <w:iCs w:val="0"/>
          <w:szCs w:val="20"/>
          <w14:ligatures w14:val="none"/>
        </w:rPr>
        <w:t>In the scenario of TN-NTN coordination, the motivation for 5G TN-NTN mobility enhancement still exists in 6G.</w:t>
      </w:r>
    </w:p>
    <w:p w14:paraId="7FE403EB">
      <w:pPr>
        <w:pStyle w:val="10"/>
        <w:tabs>
          <w:tab w:val="right" w:leader="dot" w:pos="9356"/>
          <w:tab w:val="clear" w:pos="1260"/>
          <w:tab w:val="clear" w:pos="9346"/>
        </w:tabs>
        <w:spacing w:before="156" w:after="156"/>
        <w:ind w:left="800" w:hanging="400"/>
        <w:rPr>
          <w:rFonts w:ascii="Times New Roman" w:hAnsi="Times New Roman" w:cs="Times New Roman" w:eastAsiaTheme="minorEastAsia"/>
          <w:b/>
          <w:i w:val="0"/>
          <w:iCs w:val="0"/>
          <w:kern w:val="2"/>
          <w:szCs w:val="20"/>
          <w:lang w:val="en-US" w:eastAsia="zh-CN" w:bidi="ar-SA"/>
        </w:rPr>
      </w:pPr>
      <w:r>
        <w:rPr>
          <w:rFonts w:eastAsiaTheme="minorEastAsia"/>
          <w:i w:val="0"/>
          <w:iCs w:val="0"/>
        </w:rPr>
        <w:fldChar w:fldCharType="end"/>
      </w:r>
      <w:r>
        <w:rPr>
          <w:rFonts w:eastAsiaTheme="minorEastAsia"/>
          <w:i w:val="0"/>
          <w:iCs w:val="0"/>
        </w:rPr>
        <w:fldChar w:fldCharType="begin"/>
      </w:r>
      <w:r>
        <w:rPr>
          <w:rFonts w:eastAsiaTheme="minorEastAsia"/>
          <w:i w:val="0"/>
          <w:iCs w:val="0"/>
        </w:rPr>
        <w:instrText xml:space="preserve"> TOC \n \t "1st-Proposal-YJ,1,2nd-proposal-YJ,2,3nd-proposal-YJ,3" </w:instrText>
      </w:r>
      <w:r>
        <w:rPr>
          <w:rFonts w:eastAsiaTheme="minorEastAsia"/>
          <w:i w:val="0"/>
          <w:iCs w:val="0"/>
        </w:rPr>
        <w:fldChar w:fldCharType="separate"/>
      </w:r>
    </w:p>
    <w:p w14:paraId="42A2C558">
      <w:pPr>
        <w:pStyle w:val="10"/>
        <w:tabs>
          <w:tab w:val="right" w:leader="dot" w:pos="9356"/>
          <w:tab w:val="clear" w:pos="1260"/>
          <w:tab w:val="clear" w:pos="9346"/>
        </w:tabs>
        <w:rPr>
          <w:i w:val="0"/>
          <w:iCs w:val="0"/>
        </w:rPr>
      </w:pPr>
      <w:r>
        <w:rPr>
          <w:rFonts w:hint="default" w:ascii="Times New Roman" w:hAnsi="Times New Roman" w:eastAsia="宋体"/>
          <w:i w:val="0"/>
          <w:iCs w:val="0"/>
          <w:color w:val="000000" w:themeColor="text1"/>
          <w14:textFill>
            <w14:solidFill>
              <w14:schemeClr w14:val="tx1"/>
            </w14:solidFill>
          </w14:textFill>
        </w:rPr>
        <w:t xml:space="preserve">Proposal 1: </w:t>
      </w:r>
      <w:r>
        <w:rPr>
          <w:rFonts w:hint="eastAsia"/>
          <w:i w:val="0"/>
          <w:iCs w:val="0"/>
          <w:color w:val="000000" w:themeColor="text1"/>
          <w14:textFill>
            <w14:solidFill>
              <w14:schemeClr w14:val="tx1"/>
            </w14:solidFill>
          </w14:textFill>
        </w:rPr>
        <w:t>6G TN and NTN should follow an integrated mobility framework to reduced interruption time, signaling overhead and power consumption, and study following aspects:</w:t>
      </w:r>
    </w:p>
    <w:p w14:paraId="359C453F">
      <w:pPr>
        <w:pStyle w:val="11"/>
        <w:tabs>
          <w:tab w:val="right" w:leader="dot" w:pos="9356"/>
        </w:tabs>
        <w:rPr>
          <w:i w:val="0"/>
          <w:iCs w:val="0"/>
        </w:rPr>
      </w:pPr>
      <w:r>
        <w:rPr>
          <w:rFonts w:hint="default" w:ascii="Verdana" w:hAnsi="Verdana" w:eastAsiaTheme="minorEastAsia"/>
          <w:i w:val="0"/>
          <w:iCs w:val="0"/>
          <w:color w:val="000000" w:themeColor="text1"/>
          <w14:textFill>
            <w14:solidFill>
              <w14:schemeClr w14:val="tx1"/>
            </w14:solidFill>
          </w14:textFill>
        </w:rPr>
        <w:t xml:space="preserve">− </w:t>
      </w:r>
      <w:r>
        <w:rPr>
          <w:rFonts w:hint="eastAsia" w:eastAsiaTheme="minorEastAsia"/>
          <w:i w:val="0"/>
          <w:iCs w:val="0"/>
          <w:color w:val="000000" w:themeColor="text1"/>
          <w14:textFill>
            <w14:solidFill>
              <w14:schemeClr w14:val="tx1"/>
            </w14:solidFill>
          </w14:textFill>
        </w:rPr>
        <w:t>Supports at least time/location-based measurement event in 5G;</w:t>
      </w:r>
    </w:p>
    <w:p w14:paraId="00C834DF">
      <w:pPr>
        <w:pStyle w:val="11"/>
        <w:tabs>
          <w:tab w:val="right" w:leader="dot" w:pos="9356"/>
        </w:tabs>
        <w:rPr>
          <w:i w:val="0"/>
          <w:iCs w:val="0"/>
        </w:rPr>
      </w:pPr>
      <w:r>
        <w:rPr>
          <w:rFonts w:hint="default" w:ascii="Verdana" w:hAnsi="Verdana" w:eastAsiaTheme="minorEastAsia"/>
          <w:i w:val="0"/>
          <w:iCs w:val="0"/>
          <w:color w:val="000000" w:themeColor="text1"/>
          <w14:textFill>
            <w14:solidFill>
              <w14:schemeClr w14:val="tx1"/>
            </w14:solidFill>
          </w14:textFill>
        </w:rPr>
        <w:t xml:space="preserve">− </w:t>
      </w:r>
      <w:r>
        <w:rPr>
          <w:rFonts w:hint="eastAsia" w:eastAsiaTheme="minorEastAsia"/>
          <w:i w:val="0"/>
          <w:iCs w:val="0"/>
          <w:color w:val="000000" w:themeColor="text1"/>
          <w14:textFill>
            <w14:solidFill>
              <w14:schemeClr w14:val="tx1"/>
            </w14:solidFill>
          </w14:textFill>
        </w:rPr>
        <w:t>Supports handover types including HO, CHO, RACH-less HO, LTM, etc.</w:t>
      </w:r>
    </w:p>
    <w:p w14:paraId="72EE9009">
      <w:pPr>
        <w:pStyle w:val="10"/>
        <w:tabs>
          <w:tab w:val="right" w:leader="dot" w:pos="9356"/>
          <w:tab w:val="clear" w:pos="1260"/>
          <w:tab w:val="clear" w:pos="9346"/>
        </w:tabs>
        <w:rPr>
          <w:i w:val="0"/>
          <w:iCs w:val="0"/>
        </w:rPr>
      </w:pPr>
      <w:r>
        <w:rPr>
          <w:rFonts w:hint="default" w:ascii="Times New Roman" w:hAnsi="Times New Roman" w:eastAsia="宋体"/>
          <w:i w:val="0"/>
          <w:iCs w:val="0"/>
          <w:color w:val="000000" w:themeColor="text1"/>
          <w14:textFill>
            <w14:solidFill>
              <w14:schemeClr w14:val="tx1"/>
            </w14:solidFill>
          </w14:textFill>
        </w:rPr>
        <w:t xml:space="preserve">Proposal 2: </w:t>
      </w:r>
      <w:r>
        <w:rPr>
          <w:rFonts w:hint="eastAsia"/>
          <w:i w:val="0"/>
          <w:iCs w:val="0"/>
          <w:color w:val="000000" w:themeColor="text1"/>
          <w14:textFill>
            <w14:solidFill>
              <w14:schemeClr w14:val="tx1"/>
            </w14:solidFill>
          </w14:textFill>
        </w:rPr>
        <w:t>6G NTN mobility should consider whether and how to support all RRC states:</w:t>
      </w:r>
    </w:p>
    <w:p w14:paraId="04F29280">
      <w:pPr>
        <w:pStyle w:val="11"/>
        <w:tabs>
          <w:tab w:val="right" w:leader="dot" w:pos="9356"/>
        </w:tabs>
        <w:rPr>
          <w:i w:val="0"/>
          <w:iCs w:val="0"/>
        </w:rPr>
      </w:pPr>
      <w:r>
        <w:rPr>
          <w:rFonts w:hint="default" w:ascii="Verdana" w:hAnsi="Verdana" w:eastAsiaTheme="minorEastAsia"/>
          <w:i w:val="0"/>
          <w:iCs w:val="0"/>
          <w:color w:val="000000" w:themeColor="text1"/>
          <w14:textFill>
            <w14:solidFill>
              <w14:schemeClr w14:val="tx1"/>
            </w14:solidFill>
          </w14:textFill>
        </w:rPr>
        <w:t xml:space="preserve">− </w:t>
      </w:r>
      <w:r>
        <w:rPr>
          <w:rFonts w:hint="eastAsia" w:eastAsiaTheme="minorEastAsia"/>
          <w:i w:val="0"/>
          <w:iCs w:val="0"/>
          <w:color w:val="000000" w:themeColor="text1"/>
          <w14:textFill>
            <w14:solidFill>
              <w14:schemeClr w14:val="tx1"/>
            </w14:solidFill>
          </w14:textFill>
        </w:rPr>
        <w:t>RRC_Connected</w:t>
      </w:r>
    </w:p>
    <w:p w14:paraId="4D150148">
      <w:pPr>
        <w:pStyle w:val="11"/>
        <w:tabs>
          <w:tab w:val="right" w:leader="dot" w:pos="9356"/>
        </w:tabs>
        <w:rPr>
          <w:i w:val="0"/>
          <w:iCs w:val="0"/>
        </w:rPr>
      </w:pPr>
      <w:r>
        <w:rPr>
          <w:rFonts w:hint="default" w:ascii="Verdana" w:hAnsi="Verdana" w:eastAsiaTheme="minorEastAsia"/>
          <w:i w:val="0"/>
          <w:iCs w:val="0"/>
          <w:color w:val="000000" w:themeColor="text1"/>
          <w14:textFill>
            <w14:solidFill>
              <w14:schemeClr w14:val="tx1"/>
            </w14:solidFill>
          </w14:textFill>
        </w:rPr>
        <w:t xml:space="preserve">− </w:t>
      </w:r>
      <w:r>
        <w:rPr>
          <w:rFonts w:hint="eastAsia" w:eastAsiaTheme="minorEastAsia"/>
          <w:i w:val="0"/>
          <w:iCs w:val="0"/>
          <w:color w:val="000000" w:themeColor="text1"/>
          <w14:textFill>
            <w14:solidFill>
              <w14:schemeClr w14:val="tx1"/>
            </w14:solidFill>
          </w14:textFill>
        </w:rPr>
        <w:t>RRC_IDLE</w:t>
      </w:r>
    </w:p>
    <w:p w14:paraId="57C507D9">
      <w:pPr>
        <w:pStyle w:val="11"/>
        <w:tabs>
          <w:tab w:val="right" w:leader="dot" w:pos="9356"/>
        </w:tabs>
        <w:rPr>
          <w:i w:val="0"/>
          <w:iCs w:val="0"/>
        </w:rPr>
      </w:pPr>
      <w:r>
        <w:rPr>
          <w:rFonts w:hint="default" w:ascii="Verdana" w:hAnsi="Verdana" w:eastAsiaTheme="minorEastAsia"/>
          <w:i w:val="0"/>
          <w:iCs w:val="0"/>
          <w:color w:val="000000" w:themeColor="text1"/>
          <w14:textFill>
            <w14:solidFill>
              <w14:schemeClr w14:val="tx1"/>
            </w14:solidFill>
          </w14:textFill>
        </w:rPr>
        <w:t xml:space="preserve">− </w:t>
      </w:r>
      <w:r>
        <w:rPr>
          <w:rFonts w:hint="eastAsia" w:eastAsiaTheme="minorEastAsia"/>
          <w:i w:val="0"/>
          <w:iCs w:val="0"/>
          <w:color w:val="000000" w:themeColor="text1"/>
          <w14:textFill>
            <w14:solidFill>
              <w14:schemeClr w14:val="tx1"/>
            </w14:solidFill>
          </w14:textFill>
        </w:rPr>
        <w:t>RRC_Inactive/sub-state (based on the conclusion of 6G RRC states)</w:t>
      </w:r>
    </w:p>
    <w:p w14:paraId="5F35A58E">
      <w:pPr>
        <w:pStyle w:val="10"/>
        <w:tabs>
          <w:tab w:val="right" w:leader="dot" w:pos="9356"/>
          <w:tab w:val="clear" w:pos="1260"/>
          <w:tab w:val="clear" w:pos="9346"/>
        </w:tabs>
        <w:rPr>
          <w:i w:val="0"/>
          <w:iCs w:val="0"/>
        </w:rPr>
      </w:pPr>
      <w:r>
        <w:rPr>
          <w:rFonts w:hint="default" w:ascii="Times New Roman" w:hAnsi="Times New Roman" w:eastAsia="宋体"/>
          <w:i w:val="0"/>
          <w:iCs w:val="0"/>
        </w:rPr>
        <w:t xml:space="preserve">Proposal 3: </w:t>
      </w:r>
      <w:r>
        <w:rPr>
          <w:rFonts w:hint="eastAsia"/>
          <w:i w:val="0"/>
          <w:iCs w:val="0"/>
        </w:rPr>
        <w:t>RAN2 to consider the following usecases in 6G NTN mobility:</w:t>
      </w:r>
    </w:p>
    <w:p w14:paraId="698C93DD">
      <w:pPr>
        <w:pStyle w:val="11"/>
        <w:tabs>
          <w:tab w:val="right" w:leader="dot" w:pos="9356"/>
        </w:tabs>
        <w:rPr>
          <w:i w:val="0"/>
          <w:iCs w:val="0"/>
        </w:rPr>
      </w:pPr>
      <w:r>
        <w:rPr>
          <w:rFonts w:hint="default" w:ascii="Verdana" w:hAnsi="Verdana" w:eastAsiaTheme="minorEastAsia"/>
          <w:i w:val="0"/>
          <w:iCs w:val="0"/>
        </w:rPr>
        <w:t xml:space="preserve">− </w:t>
      </w:r>
      <w:r>
        <w:rPr>
          <w:rFonts w:hint="eastAsia" w:eastAsiaTheme="minorEastAsia"/>
          <w:i w:val="0"/>
          <w:iCs w:val="0"/>
        </w:rPr>
        <w:t>GNSS free</w:t>
      </w:r>
    </w:p>
    <w:p w14:paraId="1C506791">
      <w:pPr>
        <w:pStyle w:val="11"/>
        <w:tabs>
          <w:tab w:val="right" w:leader="dot" w:pos="9356"/>
        </w:tabs>
        <w:rPr>
          <w:i w:val="0"/>
          <w:iCs w:val="0"/>
        </w:rPr>
      </w:pPr>
      <w:r>
        <w:rPr>
          <w:rFonts w:hint="default" w:ascii="Verdana" w:hAnsi="Verdana" w:eastAsiaTheme="minorEastAsia"/>
          <w:i w:val="0"/>
          <w:iCs w:val="0"/>
        </w:rPr>
        <w:t xml:space="preserve">− </w:t>
      </w:r>
      <w:r>
        <w:rPr>
          <w:rFonts w:hint="eastAsia" w:eastAsiaTheme="minorEastAsia"/>
          <w:i w:val="0"/>
          <w:iCs w:val="0"/>
        </w:rPr>
        <w:t>Beam hopping</w:t>
      </w:r>
    </w:p>
    <w:p w14:paraId="202DB25F">
      <w:pPr>
        <w:pStyle w:val="11"/>
        <w:tabs>
          <w:tab w:val="right" w:leader="dot" w:pos="9356"/>
        </w:tabs>
        <w:rPr>
          <w:i w:val="0"/>
          <w:iCs w:val="0"/>
        </w:rPr>
      </w:pPr>
      <w:r>
        <w:rPr>
          <w:rFonts w:hint="default" w:ascii="Verdana" w:hAnsi="Verdana" w:eastAsiaTheme="minorEastAsia"/>
          <w:i w:val="0"/>
          <w:iCs w:val="0"/>
        </w:rPr>
        <w:t xml:space="preserve">− </w:t>
      </w:r>
      <w:r>
        <w:rPr>
          <w:rFonts w:hint="eastAsia" w:eastAsiaTheme="minorEastAsia"/>
          <w:i w:val="0"/>
          <w:iCs w:val="0"/>
        </w:rPr>
        <w:t>Multi-orbit</w:t>
      </w:r>
    </w:p>
    <w:p w14:paraId="2833CF12">
      <w:pPr>
        <w:pStyle w:val="11"/>
        <w:tabs>
          <w:tab w:val="right" w:leader="dot" w:pos="9356"/>
        </w:tabs>
        <w:rPr>
          <w:rFonts w:eastAsiaTheme="minorEastAsia"/>
          <w:i w:val="0"/>
          <w:iCs w:val="0"/>
        </w:rPr>
      </w:pPr>
      <w:r>
        <w:rPr>
          <w:rFonts w:hint="default" w:ascii="Verdana" w:hAnsi="Verdana" w:eastAsiaTheme="minorEastAsia"/>
          <w:i w:val="0"/>
          <w:iCs w:val="0"/>
        </w:rPr>
        <w:t xml:space="preserve">− </w:t>
      </w:r>
      <w:r>
        <w:rPr>
          <w:rFonts w:hint="eastAsia" w:eastAsiaTheme="minorEastAsia"/>
          <w:i w:val="0"/>
          <w:iCs w:val="0"/>
        </w:rPr>
        <w:t>TN-NTN coordination</w:t>
      </w:r>
      <w:r>
        <w:rPr>
          <w:rFonts w:eastAsiaTheme="minorEastAsia"/>
          <w:i w:val="0"/>
          <w:iCs w:val="0"/>
        </w:rPr>
        <w:fldChar w:fldCharType="end"/>
      </w:r>
    </w:p>
    <w:p w14:paraId="4174FC57">
      <w:pPr>
        <w:pBdr>
          <w:bottom w:val="single" w:color="auto" w:sz="12" w:space="1"/>
        </w:pBdr>
        <w:spacing w:before="156" w:after="156"/>
        <w:rPr>
          <w:rFonts w:eastAsiaTheme="minorEastAsia"/>
        </w:rPr>
      </w:pPr>
    </w:p>
    <w:p w14:paraId="463BFC14">
      <w:pPr>
        <w:pStyle w:val="2"/>
        <w:numPr>
          <w:ilvl w:val="0"/>
          <w:numId w:val="1"/>
        </w:numPr>
        <w:spacing w:before="156" w:after="156"/>
        <w:rPr>
          <w:rFonts w:eastAsia="宋体"/>
          <w:sz w:val="28"/>
          <w:szCs w:val="28"/>
        </w:rPr>
      </w:pPr>
      <w:r>
        <w:rPr>
          <w:rFonts w:eastAsia="宋体"/>
          <w:sz w:val="28"/>
          <w:szCs w:val="28"/>
        </w:rPr>
        <w:t xml:space="preserve">Reference </w:t>
      </w:r>
    </w:p>
    <w:p w14:paraId="7A836F98">
      <w:pPr>
        <w:pStyle w:val="4"/>
        <w:numPr>
          <w:ilvl w:val="0"/>
          <w:numId w:val="7"/>
        </w:numPr>
        <w:ind w:firstLineChars="0"/>
        <w:rPr>
          <w:rFonts w:eastAsiaTheme="minorEastAsia"/>
        </w:rPr>
      </w:pPr>
      <w:r>
        <w:rPr>
          <w:rFonts w:cs="Arial"/>
        </w:rPr>
        <w:t>Report of 3GPP TSG RAN WG2 meeting #132, Dallas, USA</w:t>
      </w:r>
    </w:p>
    <w:p w14:paraId="4C7798E9">
      <w:pPr>
        <w:pStyle w:val="4"/>
        <w:numPr>
          <w:ilvl w:val="0"/>
          <w:numId w:val="7"/>
        </w:numPr>
        <w:spacing w:before="156" w:after="156"/>
        <w:ind w:left="420" w:hanging="420" w:firstLineChars="0"/>
        <w:rPr>
          <w:rFonts w:eastAsiaTheme="minorEastAsia"/>
        </w:rPr>
      </w:pPr>
      <w:r>
        <w:rPr>
          <w:rFonts w:hint="eastAsia" w:eastAsiaTheme="minorEastAsia"/>
        </w:rPr>
        <w:t>TR 38.821, Solutions for NR to support non-terrestrial networks (NTN), v16.2.0</w:t>
      </w:r>
    </w:p>
    <w:p w14:paraId="245CF819">
      <w:pPr>
        <w:spacing w:before="156" w:after="156"/>
        <w:rPr>
          <w:rFonts w:eastAsiaTheme="minorEastAsia"/>
        </w:rPr>
      </w:pPr>
    </w:p>
    <w:sectPr>
      <w:headerReference r:id="rId6" w:type="first"/>
      <w:footerReference r:id="rId9" w:type="first"/>
      <w:headerReference r:id="rId4" w:type="default"/>
      <w:footerReference r:id="rId7" w:type="default"/>
      <w:headerReference r:id="rId5" w:type="even"/>
      <w:footerReference r:id="rId8" w:type="even"/>
      <w:pgSz w:w="11906" w:h="16838"/>
      <w:pgMar w:top="1440" w:right="1274" w:bottom="1440" w:left="12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7715629"/>
    </w:sdtPr>
    <w:sdtEndPr>
      <w:rPr>
        <w:sz w:val="20"/>
        <w:szCs w:val="20"/>
      </w:rPr>
    </w:sdtEndPr>
    <w:sdtContent>
      <w:p w14:paraId="4AF9BD71">
        <w:pPr>
          <w:pStyle w:val="8"/>
          <w:spacing w:before="120" w:after="120"/>
          <w:jc w:val="center"/>
          <w:rPr>
            <w:sz w:val="20"/>
            <w:szCs w:val="20"/>
          </w:rPr>
        </w:pPr>
        <w:r>
          <w:rPr>
            <w:sz w:val="20"/>
            <w:szCs w:val="20"/>
          </w:rPr>
          <w:fldChar w:fldCharType="begin"/>
        </w:r>
        <w:r>
          <w:rPr>
            <w:sz w:val="20"/>
            <w:szCs w:val="20"/>
          </w:rPr>
          <w:instrText xml:space="preserve">PAGE   \* MERGEFORMAT</w:instrText>
        </w:r>
        <w:r>
          <w:rPr>
            <w:sz w:val="20"/>
            <w:szCs w:val="20"/>
          </w:rPr>
          <w:fldChar w:fldCharType="separate"/>
        </w:r>
        <w:r>
          <w:rPr>
            <w:sz w:val="20"/>
            <w:szCs w:val="20"/>
            <w:lang w:val="zh-CN"/>
          </w:rPr>
          <w:t>3</w:t>
        </w:r>
        <w:r>
          <w:rPr>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A3B2D">
    <w:pPr>
      <w:pStyle w:val="8"/>
      <w:spacing w:before="120" w:after="120"/>
    </w:pPr>
  </w:p>
  <w:p w14:paraId="2BBD14FA">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9D85A">
    <w:pPr>
      <w:pStyle w:val="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4B1F8">
    <w:pPr>
      <w:spacing w:before="120" w:after="120"/>
      <w:rPr>
        <w:rFonts w:eastAsiaTheme="minor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3B683">
    <w:pPr>
      <w:pStyle w:val="9"/>
      <w:spacing w:before="120" w:after="120"/>
    </w:pPr>
  </w:p>
  <w:p w14:paraId="593DC15D">
    <w:pPr>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648C8">
    <w:pPr>
      <w:pStyle w:val="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5B6A55"/>
    <w:multiLevelType w:val="multilevel"/>
    <w:tmpl w:val="075B6A55"/>
    <w:lvl w:ilvl="0" w:tentative="0">
      <w:start w:val="1"/>
      <w:numFmt w:val="decimal"/>
      <w:lvlText w:val="[%1]"/>
      <w:lvlJc w:val="left"/>
      <w:pPr>
        <w:ind w:left="420" w:hanging="420"/>
      </w:pPr>
      <w:rPr>
        <w:rFonts w:hint="eastAsia"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0082BA0"/>
    <w:multiLevelType w:val="multilevel"/>
    <w:tmpl w:val="10082BA0"/>
    <w:lvl w:ilvl="0" w:tentative="0">
      <w:start w:val="1"/>
      <w:numFmt w:val="decimal"/>
      <w:pStyle w:val="26"/>
      <w:lvlText w:val="Observation %1: "/>
      <w:lvlJc w:val="left"/>
      <w:pPr>
        <w:tabs>
          <w:tab w:val="left" w:pos="0"/>
        </w:tabs>
        <w:ind w:left="0" w:firstLine="0"/>
      </w:pPr>
      <w:rPr>
        <w:rFonts w:hint="default" w:ascii="Times New Roman" w:hAnsi="Times New Roman" w:eastAsia="宋体"/>
        <w:b/>
        <w:i w:val="0"/>
        <w:iCs/>
        <w:caps w:val="0"/>
        <w:strike w:val="0"/>
        <w:dstrike w:val="0"/>
        <w:vanish w:val="0"/>
        <w:color w:val="auto"/>
        <w:sz w:val="20"/>
        <w:vertAlign w:val="baseline"/>
      </w:rPr>
    </w:lvl>
    <w:lvl w:ilvl="1" w:tentative="0">
      <w:start w:val="1"/>
      <w:numFmt w:val="bullet"/>
      <w:pStyle w:val="27"/>
      <w:lvlText w:val="−"/>
      <w:lvlJc w:val="left"/>
      <w:pPr>
        <w:tabs>
          <w:tab w:val="left" w:pos="851"/>
        </w:tabs>
        <w:ind w:left="851" w:firstLine="0"/>
      </w:pPr>
      <w:rPr>
        <w:rFonts w:hint="default" w:ascii="Verdana" w:hAnsi="Verdana"/>
        <w:sz w:val="20"/>
      </w:rPr>
    </w:lvl>
    <w:lvl w:ilvl="2" w:tentative="0">
      <w:start w:val="1"/>
      <w:numFmt w:val="bullet"/>
      <w:pStyle w:val="28"/>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2">
    <w:nsid w:val="3433525C"/>
    <w:multiLevelType w:val="multilevel"/>
    <w:tmpl w:val="3433525C"/>
    <w:lvl w:ilvl="0" w:tentative="0">
      <w:start w:val="1"/>
      <w:numFmt w:val="decimal"/>
      <w:pStyle w:val="21"/>
      <w:lvlText w:val="Proposal %1:"/>
      <w:lvlJc w:val="left"/>
      <w:pPr>
        <w:tabs>
          <w:tab w:val="left" w:pos="0"/>
        </w:tabs>
        <w:ind w:left="0" w:firstLine="0"/>
      </w:pPr>
      <w:rPr>
        <w:rFonts w:hint="default" w:ascii="Times New Roman" w:hAnsi="Times New Roman" w:eastAsia="宋体"/>
        <w:b/>
        <w:i w:val="0"/>
        <w:iCs/>
        <w:sz w:val="20"/>
      </w:rPr>
    </w:lvl>
    <w:lvl w:ilvl="1" w:tentative="0">
      <w:start w:val="1"/>
      <w:numFmt w:val="bullet"/>
      <w:pStyle w:val="22"/>
      <w:lvlText w:val="−"/>
      <w:lvlJc w:val="left"/>
      <w:pPr>
        <w:tabs>
          <w:tab w:val="left" w:pos="851"/>
        </w:tabs>
        <w:ind w:left="851" w:firstLine="0"/>
      </w:pPr>
      <w:rPr>
        <w:rFonts w:hint="default" w:ascii="Verdana" w:hAnsi="Verdana"/>
        <w:sz w:val="20"/>
      </w:rPr>
    </w:lvl>
    <w:lvl w:ilvl="2" w:tentative="0">
      <w:start w:val="1"/>
      <w:numFmt w:val="bullet"/>
      <w:pStyle w:val="23"/>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3">
    <w:nsid w:val="4D7D0BD3"/>
    <w:multiLevelType w:val="multilevel"/>
    <w:tmpl w:val="4D7D0BD3"/>
    <w:lvl w:ilvl="0" w:tentative="0">
      <w:start w:val="1"/>
      <w:numFmt w:val="decimal"/>
      <w:lvlText w:val="%1."/>
      <w:lvlJc w:val="left"/>
      <w:pPr>
        <w:ind w:left="425" w:hanging="425"/>
      </w:pPr>
    </w:lvl>
    <w:lvl w:ilvl="1" w:tentative="0">
      <w:start w:val="1"/>
      <w:numFmt w:val="decimal"/>
      <w:pStyle w:val="3"/>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EC97D6B"/>
    <w:multiLevelType w:val="multilevel"/>
    <w:tmpl w:val="5EC97D6B"/>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3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49B41B6"/>
    <w:multiLevelType w:val="multilevel"/>
    <w:tmpl w:val="749B41B6"/>
    <w:lvl w:ilvl="0" w:tentative="0">
      <w:start w:val="1"/>
      <w:numFmt w:val="bullet"/>
      <w:lvlText w:val="-"/>
      <w:lvlJc w:val="left"/>
      <w:pPr>
        <w:ind w:left="1619" w:hanging="360"/>
      </w:pPr>
      <w:rPr>
        <w:rFonts w:hint="default" w:ascii="Arial" w:hAnsi="Arial" w:eastAsia="宋体" w:cs="Arial"/>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3"/>
  </w:num>
  <w:num w:numId="2">
    <w:abstractNumId w:val="2"/>
  </w:num>
  <w:num w:numId="3">
    <w:abstractNumId w:val="1"/>
  </w:num>
  <w:num w:numId="4">
    <w:abstractNumId w:val="5"/>
  </w:num>
  <w:num w:numId="5">
    <w:abstractNumId w:val="6"/>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168F"/>
    <w:rsid w:val="0000283C"/>
    <w:rsid w:val="00004357"/>
    <w:rsid w:val="00004D48"/>
    <w:rsid w:val="000072AA"/>
    <w:rsid w:val="00010F43"/>
    <w:rsid w:val="00016639"/>
    <w:rsid w:val="0002304C"/>
    <w:rsid w:val="00023402"/>
    <w:rsid w:val="00023C7D"/>
    <w:rsid w:val="00025580"/>
    <w:rsid w:val="00026DA5"/>
    <w:rsid w:val="0003252A"/>
    <w:rsid w:val="00033A0B"/>
    <w:rsid w:val="00036786"/>
    <w:rsid w:val="00041A7E"/>
    <w:rsid w:val="0004450B"/>
    <w:rsid w:val="000461CD"/>
    <w:rsid w:val="00046AFE"/>
    <w:rsid w:val="00046C8B"/>
    <w:rsid w:val="00047B70"/>
    <w:rsid w:val="00056201"/>
    <w:rsid w:val="00057BBF"/>
    <w:rsid w:val="0006225F"/>
    <w:rsid w:val="000640A0"/>
    <w:rsid w:val="00065098"/>
    <w:rsid w:val="00066E7B"/>
    <w:rsid w:val="000676CC"/>
    <w:rsid w:val="00072A67"/>
    <w:rsid w:val="00080E96"/>
    <w:rsid w:val="00083487"/>
    <w:rsid w:val="000840E6"/>
    <w:rsid w:val="000A3667"/>
    <w:rsid w:val="000A5130"/>
    <w:rsid w:val="000A5394"/>
    <w:rsid w:val="000B2531"/>
    <w:rsid w:val="000B69EE"/>
    <w:rsid w:val="000C184E"/>
    <w:rsid w:val="000C29E2"/>
    <w:rsid w:val="000C32E4"/>
    <w:rsid w:val="000D057B"/>
    <w:rsid w:val="000D0749"/>
    <w:rsid w:val="000D43E7"/>
    <w:rsid w:val="000E0C0B"/>
    <w:rsid w:val="000E7737"/>
    <w:rsid w:val="000F0101"/>
    <w:rsid w:val="000F4167"/>
    <w:rsid w:val="000F7DB2"/>
    <w:rsid w:val="00101C61"/>
    <w:rsid w:val="00103A82"/>
    <w:rsid w:val="001065AC"/>
    <w:rsid w:val="001070B3"/>
    <w:rsid w:val="001076AD"/>
    <w:rsid w:val="00110843"/>
    <w:rsid w:val="001139B9"/>
    <w:rsid w:val="0012206D"/>
    <w:rsid w:val="001268B5"/>
    <w:rsid w:val="001317A6"/>
    <w:rsid w:val="00141E65"/>
    <w:rsid w:val="00142C97"/>
    <w:rsid w:val="0015471E"/>
    <w:rsid w:val="00154A19"/>
    <w:rsid w:val="00160DB3"/>
    <w:rsid w:val="00162838"/>
    <w:rsid w:val="00174085"/>
    <w:rsid w:val="00174618"/>
    <w:rsid w:val="001749BF"/>
    <w:rsid w:val="0017689F"/>
    <w:rsid w:val="00185FD8"/>
    <w:rsid w:val="001862F6"/>
    <w:rsid w:val="00191666"/>
    <w:rsid w:val="001921E7"/>
    <w:rsid w:val="00196B13"/>
    <w:rsid w:val="001A09D1"/>
    <w:rsid w:val="001A117F"/>
    <w:rsid w:val="001A21A6"/>
    <w:rsid w:val="001A5ED8"/>
    <w:rsid w:val="001A6DB5"/>
    <w:rsid w:val="001A74A6"/>
    <w:rsid w:val="001A76A8"/>
    <w:rsid w:val="001B1475"/>
    <w:rsid w:val="001B2E95"/>
    <w:rsid w:val="001C1EC4"/>
    <w:rsid w:val="001C2B18"/>
    <w:rsid w:val="001C64BA"/>
    <w:rsid w:val="001C7A71"/>
    <w:rsid w:val="001D08D8"/>
    <w:rsid w:val="001D1B3E"/>
    <w:rsid w:val="001D4521"/>
    <w:rsid w:val="001E165B"/>
    <w:rsid w:val="001E1664"/>
    <w:rsid w:val="001E4822"/>
    <w:rsid w:val="001E6679"/>
    <w:rsid w:val="001F0597"/>
    <w:rsid w:val="001F3879"/>
    <w:rsid w:val="001F78D6"/>
    <w:rsid w:val="002041C5"/>
    <w:rsid w:val="00207852"/>
    <w:rsid w:val="00210EA4"/>
    <w:rsid w:val="002249B0"/>
    <w:rsid w:val="002322F5"/>
    <w:rsid w:val="00246FAF"/>
    <w:rsid w:val="00255A4E"/>
    <w:rsid w:val="00266A33"/>
    <w:rsid w:val="00270A85"/>
    <w:rsid w:val="0027660B"/>
    <w:rsid w:val="00281796"/>
    <w:rsid w:val="002878A2"/>
    <w:rsid w:val="002A37F4"/>
    <w:rsid w:val="002A3B9E"/>
    <w:rsid w:val="002A51A7"/>
    <w:rsid w:val="002A7893"/>
    <w:rsid w:val="002B3A9E"/>
    <w:rsid w:val="002B3F87"/>
    <w:rsid w:val="002B4403"/>
    <w:rsid w:val="002C2594"/>
    <w:rsid w:val="002C2687"/>
    <w:rsid w:val="002D5430"/>
    <w:rsid w:val="002D67EC"/>
    <w:rsid w:val="002D6A38"/>
    <w:rsid w:val="002E2018"/>
    <w:rsid w:val="002F6A17"/>
    <w:rsid w:val="002F78AD"/>
    <w:rsid w:val="00300A40"/>
    <w:rsid w:val="003028AE"/>
    <w:rsid w:val="00306632"/>
    <w:rsid w:val="00311003"/>
    <w:rsid w:val="003148FC"/>
    <w:rsid w:val="00316810"/>
    <w:rsid w:val="003316D7"/>
    <w:rsid w:val="0033549E"/>
    <w:rsid w:val="0034454B"/>
    <w:rsid w:val="00347995"/>
    <w:rsid w:val="00364058"/>
    <w:rsid w:val="003645CD"/>
    <w:rsid w:val="00367001"/>
    <w:rsid w:val="00370910"/>
    <w:rsid w:val="003709E0"/>
    <w:rsid w:val="0037135F"/>
    <w:rsid w:val="00373C8F"/>
    <w:rsid w:val="00376F0F"/>
    <w:rsid w:val="00380D6E"/>
    <w:rsid w:val="00380F71"/>
    <w:rsid w:val="003971A1"/>
    <w:rsid w:val="00397EE8"/>
    <w:rsid w:val="003A0260"/>
    <w:rsid w:val="003A282D"/>
    <w:rsid w:val="003A3608"/>
    <w:rsid w:val="003A4500"/>
    <w:rsid w:val="003A512C"/>
    <w:rsid w:val="003A60E3"/>
    <w:rsid w:val="003B12F1"/>
    <w:rsid w:val="003B703F"/>
    <w:rsid w:val="003B7CD2"/>
    <w:rsid w:val="003C13A5"/>
    <w:rsid w:val="003C35EA"/>
    <w:rsid w:val="003C3E9C"/>
    <w:rsid w:val="003C55B0"/>
    <w:rsid w:val="003C703E"/>
    <w:rsid w:val="003D52FA"/>
    <w:rsid w:val="003D76ED"/>
    <w:rsid w:val="003E001F"/>
    <w:rsid w:val="003E5D6A"/>
    <w:rsid w:val="003E62E7"/>
    <w:rsid w:val="003E6DAC"/>
    <w:rsid w:val="003F15AF"/>
    <w:rsid w:val="003F16DA"/>
    <w:rsid w:val="003F3CBF"/>
    <w:rsid w:val="003F42D9"/>
    <w:rsid w:val="004045B7"/>
    <w:rsid w:val="0041237A"/>
    <w:rsid w:val="00412772"/>
    <w:rsid w:val="00422013"/>
    <w:rsid w:val="004231DC"/>
    <w:rsid w:val="004262DE"/>
    <w:rsid w:val="00427F02"/>
    <w:rsid w:val="004312F2"/>
    <w:rsid w:val="0043695E"/>
    <w:rsid w:val="00440EFE"/>
    <w:rsid w:val="004448DA"/>
    <w:rsid w:val="004546D9"/>
    <w:rsid w:val="00457FA7"/>
    <w:rsid w:val="00462627"/>
    <w:rsid w:val="004672F7"/>
    <w:rsid w:val="004710E4"/>
    <w:rsid w:val="004743DE"/>
    <w:rsid w:val="00475E1A"/>
    <w:rsid w:val="004825C3"/>
    <w:rsid w:val="00483EB3"/>
    <w:rsid w:val="00484999"/>
    <w:rsid w:val="004907C9"/>
    <w:rsid w:val="00491BC2"/>
    <w:rsid w:val="004A0CB2"/>
    <w:rsid w:val="004C45C8"/>
    <w:rsid w:val="004C6F6B"/>
    <w:rsid w:val="004D2550"/>
    <w:rsid w:val="004D30E1"/>
    <w:rsid w:val="004D51FF"/>
    <w:rsid w:val="004D53CE"/>
    <w:rsid w:val="004D53FF"/>
    <w:rsid w:val="004D7FB6"/>
    <w:rsid w:val="004E179D"/>
    <w:rsid w:val="004E239C"/>
    <w:rsid w:val="004F108A"/>
    <w:rsid w:val="004F26EE"/>
    <w:rsid w:val="005059B8"/>
    <w:rsid w:val="00507F2F"/>
    <w:rsid w:val="0051478B"/>
    <w:rsid w:val="005149BA"/>
    <w:rsid w:val="00515805"/>
    <w:rsid w:val="00523823"/>
    <w:rsid w:val="00523E42"/>
    <w:rsid w:val="005255B5"/>
    <w:rsid w:val="00527ED1"/>
    <w:rsid w:val="00534F01"/>
    <w:rsid w:val="0053584A"/>
    <w:rsid w:val="00537356"/>
    <w:rsid w:val="00540651"/>
    <w:rsid w:val="00544282"/>
    <w:rsid w:val="00550A63"/>
    <w:rsid w:val="00553BAF"/>
    <w:rsid w:val="005620EB"/>
    <w:rsid w:val="00567198"/>
    <w:rsid w:val="00572A76"/>
    <w:rsid w:val="0057415F"/>
    <w:rsid w:val="00574C3D"/>
    <w:rsid w:val="00581E8D"/>
    <w:rsid w:val="00584576"/>
    <w:rsid w:val="00594230"/>
    <w:rsid w:val="00597C5E"/>
    <w:rsid w:val="005A037C"/>
    <w:rsid w:val="005A05CC"/>
    <w:rsid w:val="005A265E"/>
    <w:rsid w:val="005A3323"/>
    <w:rsid w:val="005A44F1"/>
    <w:rsid w:val="005B0022"/>
    <w:rsid w:val="005B17B3"/>
    <w:rsid w:val="005B31C3"/>
    <w:rsid w:val="005C3902"/>
    <w:rsid w:val="005C3A15"/>
    <w:rsid w:val="005C6EEE"/>
    <w:rsid w:val="005D5877"/>
    <w:rsid w:val="005E3F85"/>
    <w:rsid w:val="005E60F1"/>
    <w:rsid w:val="005E7B62"/>
    <w:rsid w:val="005F2B5D"/>
    <w:rsid w:val="005F5854"/>
    <w:rsid w:val="005F727C"/>
    <w:rsid w:val="00604ADA"/>
    <w:rsid w:val="00611437"/>
    <w:rsid w:val="006163A2"/>
    <w:rsid w:val="00617180"/>
    <w:rsid w:val="00623A74"/>
    <w:rsid w:val="00625250"/>
    <w:rsid w:val="0062785A"/>
    <w:rsid w:val="00627D53"/>
    <w:rsid w:val="0063076D"/>
    <w:rsid w:val="00635FD9"/>
    <w:rsid w:val="006409D9"/>
    <w:rsid w:val="00645006"/>
    <w:rsid w:val="00647BF1"/>
    <w:rsid w:val="00650290"/>
    <w:rsid w:val="00657C68"/>
    <w:rsid w:val="00661681"/>
    <w:rsid w:val="00667532"/>
    <w:rsid w:val="00670DBD"/>
    <w:rsid w:val="00671315"/>
    <w:rsid w:val="00671A41"/>
    <w:rsid w:val="006805A9"/>
    <w:rsid w:val="00686A81"/>
    <w:rsid w:val="00694BF1"/>
    <w:rsid w:val="006A1A40"/>
    <w:rsid w:val="006A3893"/>
    <w:rsid w:val="006B04F6"/>
    <w:rsid w:val="006B252A"/>
    <w:rsid w:val="006B2B96"/>
    <w:rsid w:val="006C02F2"/>
    <w:rsid w:val="006C36DC"/>
    <w:rsid w:val="006C50C6"/>
    <w:rsid w:val="006C745D"/>
    <w:rsid w:val="006C7860"/>
    <w:rsid w:val="006D0D21"/>
    <w:rsid w:val="006D1FC0"/>
    <w:rsid w:val="006E4751"/>
    <w:rsid w:val="006E5F05"/>
    <w:rsid w:val="006F072D"/>
    <w:rsid w:val="006F0E28"/>
    <w:rsid w:val="007053EB"/>
    <w:rsid w:val="007064DB"/>
    <w:rsid w:val="00711DA7"/>
    <w:rsid w:val="0071241A"/>
    <w:rsid w:val="007215C2"/>
    <w:rsid w:val="00722F9B"/>
    <w:rsid w:val="00723554"/>
    <w:rsid w:val="007235E2"/>
    <w:rsid w:val="00732C57"/>
    <w:rsid w:val="00736D7D"/>
    <w:rsid w:val="0073709D"/>
    <w:rsid w:val="00741BE6"/>
    <w:rsid w:val="007445DB"/>
    <w:rsid w:val="007516BB"/>
    <w:rsid w:val="007654A4"/>
    <w:rsid w:val="007706CD"/>
    <w:rsid w:val="00771F67"/>
    <w:rsid w:val="007729FF"/>
    <w:rsid w:val="0078187B"/>
    <w:rsid w:val="00781894"/>
    <w:rsid w:val="007836B2"/>
    <w:rsid w:val="00784D2D"/>
    <w:rsid w:val="00786313"/>
    <w:rsid w:val="00790309"/>
    <w:rsid w:val="0079052B"/>
    <w:rsid w:val="00793E5A"/>
    <w:rsid w:val="007B2F6F"/>
    <w:rsid w:val="007B5244"/>
    <w:rsid w:val="007B657B"/>
    <w:rsid w:val="007C3158"/>
    <w:rsid w:val="007C5E8F"/>
    <w:rsid w:val="007D0EFA"/>
    <w:rsid w:val="007D1EF2"/>
    <w:rsid w:val="007D5BF4"/>
    <w:rsid w:val="007D7AD8"/>
    <w:rsid w:val="007E32F5"/>
    <w:rsid w:val="007E7427"/>
    <w:rsid w:val="007F40C3"/>
    <w:rsid w:val="007F55C2"/>
    <w:rsid w:val="007F6AEF"/>
    <w:rsid w:val="007F762F"/>
    <w:rsid w:val="00800ED9"/>
    <w:rsid w:val="00806CB4"/>
    <w:rsid w:val="00820206"/>
    <w:rsid w:val="00823ECE"/>
    <w:rsid w:val="008242C1"/>
    <w:rsid w:val="00830E2B"/>
    <w:rsid w:val="008313D3"/>
    <w:rsid w:val="0083208E"/>
    <w:rsid w:val="008326E1"/>
    <w:rsid w:val="00837714"/>
    <w:rsid w:val="00846446"/>
    <w:rsid w:val="00850033"/>
    <w:rsid w:val="00857BD4"/>
    <w:rsid w:val="00861588"/>
    <w:rsid w:val="00863E3D"/>
    <w:rsid w:val="0087087E"/>
    <w:rsid w:val="00875EA8"/>
    <w:rsid w:val="00890580"/>
    <w:rsid w:val="00891741"/>
    <w:rsid w:val="008957A0"/>
    <w:rsid w:val="008A2BE5"/>
    <w:rsid w:val="008A70B4"/>
    <w:rsid w:val="008B458D"/>
    <w:rsid w:val="008B6600"/>
    <w:rsid w:val="008D0133"/>
    <w:rsid w:val="008D36A4"/>
    <w:rsid w:val="008E53ED"/>
    <w:rsid w:val="008F3CC2"/>
    <w:rsid w:val="00900DA9"/>
    <w:rsid w:val="00907431"/>
    <w:rsid w:val="009101F4"/>
    <w:rsid w:val="0091056F"/>
    <w:rsid w:val="0091401B"/>
    <w:rsid w:val="009144DE"/>
    <w:rsid w:val="00916C0E"/>
    <w:rsid w:val="009305F7"/>
    <w:rsid w:val="00937B32"/>
    <w:rsid w:val="0094080C"/>
    <w:rsid w:val="00943AF1"/>
    <w:rsid w:val="00951CCC"/>
    <w:rsid w:val="00952FA1"/>
    <w:rsid w:val="009569FC"/>
    <w:rsid w:val="00963600"/>
    <w:rsid w:val="0097236B"/>
    <w:rsid w:val="009723CF"/>
    <w:rsid w:val="00974D64"/>
    <w:rsid w:val="00975913"/>
    <w:rsid w:val="00975D32"/>
    <w:rsid w:val="00977455"/>
    <w:rsid w:val="00982D6C"/>
    <w:rsid w:val="009845F5"/>
    <w:rsid w:val="0098657A"/>
    <w:rsid w:val="00997ED5"/>
    <w:rsid w:val="009A2F2F"/>
    <w:rsid w:val="009A5E1E"/>
    <w:rsid w:val="009A6298"/>
    <w:rsid w:val="009B1444"/>
    <w:rsid w:val="009B3A89"/>
    <w:rsid w:val="009C30F1"/>
    <w:rsid w:val="009D7BA2"/>
    <w:rsid w:val="009E2A92"/>
    <w:rsid w:val="009F0813"/>
    <w:rsid w:val="009F17C4"/>
    <w:rsid w:val="009F27B0"/>
    <w:rsid w:val="00A012BD"/>
    <w:rsid w:val="00A01A09"/>
    <w:rsid w:val="00A03B9E"/>
    <w:rsid w:val="00A069E6"/>
    <w:rsid w:val="00A1081D"/>
    <w:rsid w:val="00A123CE"/>
    <w:rsid w:val="00A125DE"/>
    <w:rsid w:val="00A13C61"/>
    <w:rsid w:val="00A204E3"/>
    <w:rsid w:val="00A22FE9"/>
    <w:rsid w:val="00A23331"/>
    <w:rsid w:val="00A23F2A"/>
    <w:rsid w:val="00A25468"/>
    <w:rsid w:val="00A32EB8"/>
    <w:rsid w:val="00A34479"/>
    <w:rsid w:val="00A34BDA"/>
    <w:rsid w:val="00A34CAF"/>
    <w:rsid w:val="00A4233D"/>
    <w:rsid w:val="00A4256A"/>
    <w:rsid w:val="00A51C25"/>
    <w:rsid w:val="00A54B0A"/>
    <w:rsid w:val="00A54C37"/>
    <w:rsid w:val="00A56992"/>
    <w:rsid w:val="00A61F8A"/>
    <w:rsid w:val="00A629E2"/>
    <w:rsid w:val="00A64118"/>
    <w:rsid w:val="00A676B6"/>
    <w:rsid w:val="00A71DF0"/>
    <w:rsid w:val="00A75229"/>
    <w:rsid w:val="00A80316"/>
    <w:rsid w:val="00A80F79"/>
    <w:rsid w:val="00A863CA"/>
    <w:rsid w:val="00A87876"/>
    <w:rsid w:val="00A919BA"/>
    <w:rsid w:val="00A93C13"/>
    <w:rsid w:val="00A95C31"/>
    <w:rsid w:val="00AA3299"/>
    <w:rsid w:val="00AA4E82"/>
    <w:rsid w:val="00AA74C6"/>
    <w:rsid w:val="00AB7819"/>
    <w:rsid w:val="00AC251C"/>
    <w:rsid w:val="00AC3A1C"/>
    <w:rsid w:val="00AC467F"/>
    <w:rsid w:val="00AC7FB5"/>
    <w:rsid w:val="00AE4DA3"/>
    <w:rsid w:val="00AE7EEE"/>
    <w:rsid w:val="00AF0828"/>
    <w:rsid w:val="00AF4C00"/>
    <w:rsid w:val="00B019AF"/>
    <w:rsid w:val="00B02CC5"/>
    <w:rsid w:val="00B04397"/>
    <w:rsid w:val="00B051D3"/>
    <w:rsid w:val="00B06E18"/>
    <w:rsid w:val="00B1046F"/>
    <w:rsid w:val="00B147E8"/>
    <w:rsid w:val="00B15D47"/>
    <w:rsid w:val="00B1616B"/>
    <w:rsid w:val="00B23553"/>
    <w:rsid w:val="00B23A64"/>
    <w:rsid w:val="00B32FC3"/>
    <w:rsid w:val="00B36675"/>
    <w:rsid w:val="00B453BA"/>
    <w:rsid w:val="00B4733F"/>
    <w:rsid w:val="00B53F1B"/>
    <w:rsid w:val="00B66B81"/>
    <w:rsid w:val="00B70598"/>
    <w:rsid w:val="00B7503C"/>
    <w:rsid w:val="00B75285"/>
    <w:rsid w:val="00B76B5F"/>
    <w:rsid w:val="00B77FD0"/>
    <w:rsid w:val="00B80489"/>
    <w:rsid w:val="00B8227B"/>
    <w:rsid w:val="00B848A6"/>
    <w:rsid w:val="00B868A1"/>
    <w:rsid w:val="00B901DC"/>
    <w:rsid w:val="00B94492"/>
    <w:rsid w:val="00B95C17"/>
    <w:rsid w:val="00BA0475"/>
    <w:rsid w:val="00BA18EF"/>
    <w:rsid w:val="00BA4DE4"/>
    <w:rsid w:val="00BA75F2"/>
    <w:rsid w:val="00BB14BA"/>
    <w:rsid w:val="00BB6F17"/>
    <w:rsid w:val="00BC3AD6"/>
    <w:rsid w:val="00BC4E2E"/>
    <w:rsid w:val="00BC62FE"/>
    <w:rsid w:val="00BD48D1"/>
    <w:rsid w:val="00BD6FFC"/>
    <w:rsid w:val="00BE1869"/>
    <w:rsid w:val="00BE48AC"/>
    <w:rsid w:val="00BE58EE"/>
    <w:rsid w:val="00BE6857"/>
    <w:rsid w:val="00BF209A"/>
    <w:rsid w:val="00BF3C44"/>
    <w:rsid w:val="00C00A93"/>
    <w:rsid w:val="00C025AF"/>
    <w:rsid w:val="00C05823"/>
    <w:rsid w:val="00C06024"/>
    <w:rsid w:val="00C06B23"/>
    <w:rsid w:val="00C11CD7"/>
    <w:rsid w:val="00C16E98"/>
    <w:rsid w:val="00C26C8E"/>
    <w:rsid w:val="00C274F7"/>
    <w:rsid w:val="00C277DF"/>
    <w:rsid w:val="00C27CDC"/>
    <w:rsid w:val="00C30F58"/>
    <w:rsid w:val="00C4353C"/>
    <w:rsid w:val="00C4661E"/>
    <w:rsid w:val="00C55F5F"/>
    <w:rsid w:val="00C569F4"/>
    <w:rsid w:val="00C60531"/>
    <w:rsid w:val="00C60933"/>
    <w:rsid w:val="00C61940"/>
    <w:rsid w:val="00C620A3"/>
    <w:rsid w:val="00C62119"/>
    <w:rsid w:val="00C63B94"/>
    <w:rsid w:val="00C647D9"/>
    <w:rsid w:val="00C728CE"/>
    <w:rsid w:val="00C77C96"/>
    <w:rsid w:val="00C80523"/>
    <w:rsid w:val="00C87C50"/>
    <w:rsid w:val="00C92186"/>
    <w:rsid w:val="00C92E8B"/>
    <w:rsid w:val="00C931A7"/>
    <w:rsid w:val="00C94A04"/>
    <w:rsid w:val="00C95B58"/>
    <w:rsid w:val="00C97850"/>
    <w:rsid w:val="00CA7812"/>
    <w:rsid w:val="00CA7BC2"/>
    <w:rsid w:val="00CB3C8C"/>
    <w:rsid w:val="00CB54D4"/>
    <w:rsid w:val="00CB56B0"/>
    <w:rsid w:val="00CB7577"/>
    <w:rsid w:val="00CB7DFE"/>
    <w:rsid w:val="00CC1398"/>
    <w:rsid w:val="00CC2B2D"/>
    <w:rsid w:val="00CC49FE"/>
    <w:rsid w:val="00CD0656"/>
    <w:rsid w:val="00CF0DAC"/>
    <w:rsid w:val="00CF227A"/>
    <w:rsid w:val="00CF3601"/>
    <w:rsid w:val="00CF6571"/>
    <w:rsid w:val="00CF71B1"/>
    <w:rsid w:val="00D1270F"/>
    <w:rsid w:val="00D23602"/>
    <w:rsid w:val="00D2762E"/>
    <w:rsid w:val="00D32331"/>
    <w:rsid w:val="00D356BD"/>
    <w:rsid w:val="00D409D2"/>
    <w:rsid w:val="00D40E4A"/>
    <w:rsid w:val="00D45C18"/>
    <w:rsid w:val="00D510D6"/>
    <w:rsid w:val="00D5373B"/>
    <w:rsid w:val="00D54025"/>
    <w:rsid w:val="00D57A34"/>
    <w:rsid w:val="00D6455D"/>
    <w:rsid w:val="00D657E0"/>
    <w:rsid w:val="00D66A16"/>
    <w:rsid w:val="00D705AF"/>
    <w:rsid w:val="00D72E4A"/>
    <w:rsid w:val="00D80686"/>
    <w:rsid w:val="00D81C11"/>
    <w:rsid w:val="00D85822"/>
    <w:rsid w:val="00D86522"/>
    <w:rsid w:val="00D90468"/>
    <w:rsid w:val="00D96CE0"/>
    <w:rsid w:val="00DA0201"/>
    <w:rsid w:val="00DA2734"/>
    <w:rsid w:val="00DB3883"/>
    <w:rsid w:val="00DB5068"/>
    <w:rsid w:val="00DC19B4"/>
    <w:rsid w:val="00DC1C6A"/>
    <w:rsid w:val="00DC1FFC"/>
    <w:rsid w:val="00DC2495"/>
    <w:rsid w:val="00DC3087"/>
    <w:rsid w:val="00DD4F09"/>
    <w:rsid w:val="00DE0D15"/>
    <w:rsid w:val="00DE3D5A"/>
    <w:rsid w:val="00DE656C"/>
    <w:rsid w:val="00DE7D01"/>
    <w:rsid w:val="00DF2AD2"/>
    <w:rsid w:val="00DF48AB"/>
    <w:rsid w:val="00DF696C"/>
    <w:rsid w:val="00E01361"/>
    <w:rsid w:val="00E03F77"/>
    <w:rsid w:val="00E077BA"/>
    <w:rsid w:val="00E07B5E"/>
    <w:rsid w:val="00E10D38"/>
    <w:rsid w:val="00E11966"/>
    <w:rsid w:val="00E1334F"/>
    <w:rsid w:val="00E20DEA"/>
    <w:rsid w:val="00E227CF"/>
    <w:rsid w:val="00E24833"/>
    <w:rsid w:val="00E25D77"/>
    <w:rsid w:val="00E26C63"/>
    <w:rsid w:val="00E30A15"/>
    <w:rsid w:val="00E30B07"/>
    <w:rsid w:val="00E314B3"/>
    <w:rsid w:val="00E32755"/>
    <w:rsid w:val="00E37902"/>
    <w:rsid w:val="00E40B22"/>
    <w:rsid w:val="00E46227"/>
    <w:rsid w:val="00E50CB4"/>
    <w:rsid w:val="00E54ED2"/>
    <w:rsid w:val="00E648A6"/>
    <w:rsid w:val="00E67116"/>
    <w:rsid w:val="00E740D5"/>
    <w:rsid w:val="00E7665A"/>
    <w:rsid w:val="00E811D0"/>
    <w:rsid w:val="00E90735"/>
    <w:rsid w:val="00E91727"/>
    <w:rsid w:val="00E92046"/>
    <w:rsid w:val="00EA0F7D"/>
    <w:rsid w:val="00EA26B1"/>
    <w:rsid w:val="00EA2AF1"/>
    <w:rsid w:val="00EA50D6"/>
    <w:rsid w:val="00EB0E50"/>
    <w:rsid w:val="00EB25FF"/>
    <w:rsid w:val="00EC116C"/>
    <w:rsid w:val="00ED05D8"/>
    <w:rsid w:val="00ED2821"/>
    <w:rsid w:val="00EE20DE"/>
    <w:rsid w:val="00EE3E41"/>
    <w:rsid w:val="00EE774C"/>
    <w:rsid w:val="00EF42D7"/>
    <w:rsid w:val="00EF5D08"/>
    <w:rsid w:val="00EF6F5E"/>
    <w:rsid w:val="00F02722"/>
    <w:rsid w:val="00F058C7"/>
    <w:rsid w:val="00F11CE9"/>
    <w:rsid w:val="00F123E7"/>
    <w:rsid w:val="00F1616E"/>
    <w:rsid w:val="00F162CE"/>
    <w:rsid w:val="00F22218"/>
    <w:rsid w:val="00F3017F"/>
    <w:rsid w:val="00F33958"/>
    <w:rsid w:val="00F35933"/>
    <w:rsid w:val="00F405F3"/>
    <w:rsid w:val="00F44C0C"/>
    <w:rsid w:val="00F45AE4"/>
    <w:rsid w:val="00F537A7"/>
    <w:rsid w:val="00F620FF"/>
    <w:rsid w:val="00F63085"/>
    <w:rsid w:val="00F709EF"/>
    <w:rsid w:val="00F74672"/>
    <w:rsid w:val="00F8221D"/>
    <w:rsid w:val="00F9202D"/>
    <w:rsid w:val="00F94476"/>
    <w:rsid w:val="00F97140"/>
    <w:rsid w:val="00FA46E6"/>
    <w:rsid w:val="00FA6488"/>
    <w:rsid w:val="00FC0F43"/>
    <w:rsid w:val="00FD2453"/>
    <w:rsid w:val="00FD2610"/>
    <w:rsid w:val="00FD394B"/>
    <w:rsid w:val="00FE0046"/>
    <w:rsid w:val="00FE2690"/>
    <w:rsid w:val="00FE443F"/>
    <w:rsid w:val="00FE5430"/>
    <w:rsid w:val="00FE78C4"/>
    <w:rsid w:val="01233A9E"/>
    <w:rsid w:val="017E2CDF"/>
    <w:rsid w:val="018566C4"/>
    <w:rsid w:val="019404F8"/>
    <w:rsid w:val="01A90EE2"/>
    <w:rsid w:val="025A704C"/>
    <w:rsid w:val="02E86B7B"/>
    <w:rsid w:val="03395C8A"/>
    <w:rsid w:val="03596E6C"/>
    <w:rsid w:val="03C9097D"/>
    <w:rsid w:val="03E439AD"/>
    <w:rsid w:val="03E47515"/>
    <w:rsid w:val="03E5328D"/>
    <w:rsid w:val="043F474B"/>
    <w:rsid w:val="0444488F"/>
    <w:rsid w:val="0448781D"/>
    <w:rsid w:val="04C64D74"/>
    <w:rsid w:val="051746A1"/>
    <w:rsid w:val="05345AE5"/>
    <w:rsid w:val="05E41CF4"/>
    <w:rsid w:val="060B3858"/>
    <w:rsid w:val="069718B3"/>
    <w:rsid w:val="06E05AFE"/>
    <w:rsid w:val="070659F4"/>
    <w:rsid w:val="075073A0"/>
    <w:rsid w:val="07EA2C20"/>
    <w:rsid w:val="080D2DB2"/>
    <w:rsid w:val="08514A4D"/>
    <w:rsid w:val="08983D41"/>
    <w:rsid w:val="08CE609D"/>
    <w:rsid w:val="08DD2784"/>
    <w:rsid w:val="09502F56"/>
    <w:rsid w:val="09F879EC"/>
    <w:rsid w:val="0A354973"/>
    <w:rsid w:val="0A6A44EC"/>
    <w:rsid w:val="0A726EFC"/>
    <w:rsid w:val="0AAC0660"/>
    <w:rsid w:val="0AAE20E1"/>
    <w:rsid w:val="0ACC485F"/>
    <w:rsid w:val="0AD46352"/>
    <w:rsid w:val="0B8B6B43"/>
    <w:rsid w:val="0B9C62D3"/>
    <w:rsid w:val="0BD40F69"/>
    <w:rsid w:val="0C300E1D"/>
    <w:rsid w:val="0C3923C8"/>
    <w:rsid w:val="0C436E0E"/>
    <w:rsid w:val="0C546736"/>
    <w:rsid w:val="0CEC1E71"/>
    <w:rsid w:val="0CF8324C"/>
    <w:rsid w:val="0D1C7D1F"/>
    <w:rsid w:val="0D3A557D"/>
    <w:rsid w:val="0D8643EB"/>
    <w:rsid w:val="0E1A3B33"/>
    <w:rsid w:val="0E3050EC"/>
    <w:rsid w:val="0E4A266A"/>
    <w:rsid w:val="0E4A3C2F"/>
    <w:rsid w:val="0E611762"/>
    <w:rsid w:val="0E8D2557"/>
    <w:rsid w:val="0EE303C9"/>
    <w:rsid w:val="0F20174D"/>
    <w:rsid w:val="0F334F2B"/>
    <w:rsid w:val="0FA97864"/>
    <w:rsid w:val="0FF46D31"/>
    <w:rsid w:val="100536D3"/>
    <w:rsid w:val="105772C0"/>
    <w:rsid w:val="108D616D"/>
    <w:rsid w:val="10BE4408"/>
    <w:rsid w:val="11210F1A"/>
    <w:rsid w:val="112F3D99"/>
    <w:rsid w:val="11365128"/>
    <w:rsid w:val="11414650"/>
    <w:rsid w:val="116424A7"/>
    <w:rsid w:val="119C28A7"/>
    <w:rsid w:val="11CF05E8"/>
    <w:rsid w:val="120174E4"/>
    <w:rsid w:val="120C7329"/>
    <w:rsid w:val="12151ECE"/>
    <w:rsid w:val="123329A8"/>
    <w:rsid w:val="12C56248"/>
    <w:rsid w:val="12E56E05"/>
    <w:rsid w:val="12F62DC0"/>
    <w:rsid w:val="131157FF"/>
    <w:rsid w:val="13143247"/>
    <w:rsid w:val="13F60B9E"/>
    <w:rsid w:val="14AD7B87"/>
    <w:rsid w:val="14B81C00"/>
    <w:rsid w:val="151632A6"/>
    <w:rsid w:val="15CC7E09"/>
    <w:rsid w:val="15E2587E"/>
    <w:rsid w:val="16301FF1"/>
    <w:rsid w:val="16473933"/>
    <w:rsid w:val="16881F81"/>
    <w:rsid w:val="168B1A06"/>
    <w:rsid w:val="16A53511"/>
    <w:rsid w:val="16B40FC8"/>
    <w:rsid w:val="16DD203D"/>
    <w:rsid w:val="177762C6"/>
    <w:rsid w:val="178A7F7B"/>
    <w:rsid w:val="17C33BC1"/>
    <w:rsid w:val="18133ACD"/>
    <w:rsid w:val="18273A1C"/>
    <w:rsid w:val="189604AF"/>
    <w:rsid w:val="18C1177B"/>
    <w:rsid w:val="19204C2E"/>
    <w:rsid w:val="19322678"/>
    <w:rsid w:val="194520E0"/>
    <w:rsid w:val="19BF078A"/>
    <w:rsid w:val="1A1952F9"/>
    <w:rsid w:val="1A4F2DB6"/>
    <w:rsid w:val="1A683800"/>
    <w:rsid w:val="1B1F6C2C"/>
    <w:rsid w:val="1B9C64CF"/>
    <w:rsid w:val="1BC7159F"/>
    <w:rsid w:val="1BD75757"/>
    <w:rsid w:val="1C447C0F"/>
    <w:rsid w:val="1C4F6411"/>
    <w:rsid w:val="1C5D7A0C"/>
    <w:rsid w:val="1C684514"/>
    <w:rsid w:val="1C8054A9"/>
    <w:rsid w:val="1C8C56F0"/>
    <w:rsid w:val="1C9C1842"/>
    <w:rsid w:val="1CB515F6"/>
    <w:rsid w:val="1CC96CC9"/>
    <w:rsid w:val="1CE36202"/>
    <w:rsid w:val="1DF46453"/>
    <w:rsid w:val="1DFE6FCD"/>
    <w:rsid w:val="1E2D3BD0"/>
    <w:rsid w:val="1E3E25B4"/>
    <w:rsid w:val="1E594203"/>
    <w:rsid w:val="1E6571CD"/>
    <w:rsid w:val="1E845724"/>
    <w:rsid w:val="1E904EA3"/>
    <w:rsid w:val="1F85648A"/>
    <w:rsid w:val="1F8D239D"/>
    <w:rsid w:val="201E74B3"/>
    <w:rsid w:val="203275AD"/>
    <w:rsid w:val="20E20691"/>
    <w:rsid w:val="21E62252"/>
    <w:rsid w:val="220A23E4"/>
    <w:rsid w:val="220F5D29"/>
    <w:rsid w:val="22284619"/>
    <w:rsid w:val="222C2359"/>
    <w:rsid w:val="223632C6"/>
    <w:rsid w:val="22603DB2"/>
    <w:rsid w:val="226A4C31"/>
    <w:rsid w:val="22E433B8"/>
    <w:rsid w:val="23035B1D"/>
    <w:rsid w:val="231F3C6E"/>
    <w:rsid w:val="23502079"/>
    <w:rsid w:val="23696C97"/>
    <w:rsid w:val="238735C1"/>
    <w:rsid w:val="23FC299F"/>
    <w:rsid w:val="245B32B2"/>
    <w:rsid w:val="24631F8A"/>
    <w:rsid w:val="246D33E6"/>
    <w:rsid w:val="25302162"/>
    <w:rsid w:val="26123616"/>
    <w:rsid w:val="26720558"/>
    <w:rsid w:val="26933D94"/>
    <w:rsid w:val="27046A14"/>
    <w:rsid w:val="270B551B"/>
    <w:rsid w:val="270C05A6"/>
    <w:rsid w:val="27D50D9F"/>
    <w:rsid w:val="27E2526A"/>
    <w:rsid w:val="2818512F"/>
    <w:rsid w:val="28416434"/>
    <w:rsid w:val="286E6AFD"/>
    <w:rsid w:val="287204D1"/>
    <w:rsid w:val="28813C00"/>
    <w:rsid w:val="28C80FFA"/>
    <w:rsid w:val="291B0A33"/>
    <w:rsid w:val="297665B1"/>
    <w:rsid w:val="29934A6D"/>
    <w:rsid w:val="29A84CE7"/>
    <w:rsid w:val="29B175E9"/>
    <w:rsid w:val="29B33362"/>
    <w:rsid w:val="29FC216D"/>
    <w:rsid w:val="2A127A62"/>
    <w:rsid w:val="2A473AAA"/>
    <w:rsid w:val="2A522B7B"/>
    <w:rsid w:val="2AAD283F"/>
    <w:rsid w:val="2B620B9B"/>
    <w:rsid w:val="2BA5768F"/>
    <w:rsid w:val="2C0F4050"/>
    <w:rsid w:val="2C576226"/>
    <w:rsid w:val="2C7054FD"/>
    <w:rsid w:val="2C8114F5"/>
    <w:rsid w:val="2C8C3E8D"/>
    <w:rsid w:val="2D864A37"/>
    <w:rsid w:val="2DED232F"/>
    <w:rsid w:val="2DF6381D"/>
    <w:rsid w:val="2EB77450"/>
    <w:rsid w:val="2F606B2D"/>
    <w:rsid w:val="2F650C5A"/>
    <w:rsid w:val="2F7D1879"/>
    <w:rsid w:val="2F9E23BE"/>
    <w:rsid w:val="2FA501AC"/>
    <w:rsid w:val="2FCC14E9"/>
    <w:rsid w:val="2FE73D65"/>
    <w:rsid w:val="306A6D36"/>
    <w:rsid w:val="3099089E"/>
    <w:rsid w:val="30C10112"/>
    <w:rsid w:val="31701B38"/>
    <w:rsid w:val="31DB634C"/>
    <w:rsid w:val="32AC3044"/>
    <w:rsid w:val="32B91A02"/>
    <w:rsid w:val="32C24615"/>
    <w:rsid w:val="32CD7542"/>
    <w:rsid w:val="32D45CEA"/>
    <w:rsid w:val="32D85BE7"/>
    <w:rsid w:val="32D93D3B"/>
    <w:rsid w:val="32ED1692"/>
    <w:rsid w:val="3310712F"/>
    <w:rsid w:val="333252F7"/>
    <w:rsid w:val="33865643"/>
    <w:rsid w:val="33EA6CA0"/>
    <w:rsid w:val="33EF0A44"/>
    <w:rsid w:val="342033A2"/>
    <w:rsid w:val="3437693D"/>
    <w:rsid w:val="34AF2977"/>
    <w:rsid w:val="34DC7652"/>
    <w:rsid w:val="34F767F8"/>
    <w:rsid w:val="358F726C"/>
    <w:rsid w:val="35BC359E"/>
    <w:rsid w:val="35E825E5"/>
    <w:rsid w:val="35F5085E"/>
    <w:rsid w:val="36421F81"/>
    <w:rsid w:val="36597D54"/>
    <w:rsid w:val="368F713E"/>
    <w:rsid w:val="370A2B55"/>
    <w:rsid w:val="37DB3F00"/>
    <w:rsid w:val="382C24AB"/>
    <w:rsid w:val="387C0DC3"/>
    <w:rsid w:val="38E53B17"/>
    <w:rsid w:val="38E86458"/>
    <w:rsid w:val="39090B31"/>
    <w:rsid w:val="391248D3"/>
    <w:rsid w:val="39687B07"/>
    <w:rsid w:val="39780D99"/>
    <w:rsid w:val="39903EA3"/>
    <w:rsid w:val="39904B26"/>
    <w:rsid w:val="3A865F28"/>
    <w:rsid w:val="3BAC7146"/>
    <w:rsid w:val="3BF267C2"/>
    <w:rsid w:val="3C0878F9"/>
    <w:rsid w:val="3C7974DB"/>
    <w:rsid w:val="3C8A1D00"/>
    <w:rsid w:val="3CDA0FF9"/>
    <w:rsid w:val="3D463561"/>
    <w:rsid w:val="3D4F2F4A"/>
    <w:rsid w:val="3D983877"/>
    <w:rsid w:val="3E126451"/>
    <w:rsid w:val="3E300685"/>
    <w:rsid w:val="3E573E64"/>
    <w:rsid w:val="3EED6576"/>
    <w:rsid w:val="3F79605C"/>
    <w:rsid w:val="3F84512C"/>
    <w:rsid w:val="3FA70536"/>
    <w:rsid w:val="3FB63DA0"/>
    <w:rsid w:val="3FE67B95"/>
    <w:rsid w:val="40A84E4B"/>
    <w:rsid w:val="40AF6DB6"/>
    <w:rsid w:val="412606A3"/>
    <w:rsid w:val="418D5DEE"/>
    <w:rsid w:val="42D75573"/>
    <w:rsid w:val="431B24F0"/>
    <w:rsid w:val="43236A0A"/>
    <w:rsid w:val="44224F14"/>
    <w:rsid w:val="4441183E"/>
    <w:rsid w:val="44446C38"/>
    <w:rsid w:val="44476729"/>
    <w:rsid w:val="444B37B8"/>
    <w:rsid w:val="44611C1B"/>
    <w:rsid w:val="4464552C"/>
    <w:rsid w:val="4466289E"/>
    <w:rsid w:val="449C4CC6"/>
    <w:rsid w:val="44A41DCD"/>
    <w:rsid w:val="44DC6472"/>
    <w:rsid w:val="45232CF2"/>
    <w:rsid w:val="453B02B3"/>
    <w:rsid w:val="456356BB"/>
    <w:rsid w:val="456A4DC4"/>
    <w:rsid w:val="46435D29"/>
    <w:rsid w:val="46641814"/>
    <w:rsid w:val="469A6FE4"/>
    <w:rsid w:val="472D7E58"/>
    <w:rsid w:val="47456DDE"/>
    <w:rsid w:val="476A2E5A"/>
    <w:rsid w:val="47841A42"/>
    <w:rsid w:val="47F70466"/>
    <w:rsid w:val="48074435"/>
    <w:rsid w:val="48341A68"/>
    <w:rsid w:val="48343468"/>
    <w:rsid w:val="4839282C"/>
    <w:rsid w:val="486024AF"/>
    <w:rsid w:val="48670AD0"/>
    <w:rsid w:val="489363E0"/>
    <w:rsid w:val="48BA1BBF"/>
    <w:rsid w:val="48D12A46"/>
    <w:rsid w:val="48F77395"/>
    <w:rsid w:val="491D3165"/>
    <w:rsid w:val="496140CE"/>
    <w:rsid w:val="498D1B28"/>
    <w:rsid w:val="49A87C69"/>
    <w:rsid w:val="4A455542"/>
    <w:rsid w:val="4A8C758B"/>
    <w:rsid w:val="4B38501D"/>
    <w:rsid w:val="4B771FE9"/>
    <w:rsid w:val="4C213D03"/>
    <w:rsid w:val="4C3752D5"/>
    <w:rsid w:val="4C4025E4"/>
    <w:rsid w:val="4C7D53DD"/>
    <w:rsid w:val="4C965100"/>
    <w:rsid w:val="4CC0351C"/>
    <w:rsid w:val="4D0C1F7C"/>
    <w:rsid w:val="4D28168F"/>
    <w:rsid w:val="4D35677C"/>
    <w:rsid w:val="4D776472"/>
    <w:rsid w:val="4D92310A"/>
    <w:rsid w:val="4DEE2043"/>
    <w:rsid w:val="4DEF09C3"/>
    <w:rsid w:val="4E0D453F"/>
    <w:rsid w:val="4EB96475"/>
    <w:rsid w:val="4F350292"/>
    <w:rsid w:val="4FA2515B"/>
    <w:rsid w:val="4FB13062"/>
    <w:rsid w:val="50073904"/>
    <w:rsid w:val="50406E4E"/>
    <w:rsid w:val="50B45146"/>
    <w:rsid w:val="50D17AA6"/>
    <w:rsid w:val="50EA66B3"/>
    <w:rsid w:val="51571366"/>
    <w:rsid w:val="516C3C72"/>
    <w:rsid w:val="51A11B6E"/>
    <w:rsid w:val="51C413B8"/>
    <w:rsid w:val="521C50D3"/>
    <w:rsid w:val="52373146"/>
    <w:rsid w:val="526F57C8"/>
    <w:rsid w:val="528F0003"/>
    <w:rsid w:val="52BB3AE5"/>
    <w:rsid w:val="52CE6CD9"/>
    <w:rsid w:val="53052687"/>
    <w:rsid w:val="530A54F1"/>
    <w:rsid w:val="53D17DBD"/>
    <w:rsid w:val="53D8354C"/>
    <w:rsid w:val="54815C87"/>
    <w:rsid w:val="548B08B3"/>
    <w:rsid w:val="54E43A07"/>
    <w:rsid w:val="54E43D23"/>
    <w:rsid w:val="550F3292"/>
    <w:rsid w:val="55230AEC"/>
    <w:rsid w:val="5573510F"/>
    <w:rsid w:val="56486A5C"/>
    <w:rsid w:val="56757125"/>
    <w:rsid w:val="56B07B81"/>
    <w:rsid w:val="57441082"/>
    <w:rsid w:val="5745080D"/>
    <w:rsid w:val="58201313"/>
    <w:rsid w:val="5870334B"/>
    <w:rsid w:val="58966E18"/>
    <w:rsid w:val="59173568"/>
    <w:rsid w:val="59516080"/>
    <w:rsid w:val="5958765B"/>
    <w:rsid w:val="597C5B3F"/>
    <w:rsid w:val="599B5A6E"/>
    <w:rsid w:val="59CC3500"/>
    <w:rsid w:val="5AE8436A"/>
    <w:rsid w:val="5BD14DFE"/>
    <w:rsid w:val="5BF831AF"/>
    <w:rsid w:val="5BFE196B"/>
    <w:rsid w:val="5C1E3DBB"/>
    <w:rsid w:val="5C436423"/>
    <w:rsid w:val="5C5C2FCC"/>
    <w:rsid w:val="5D137698"/>
    <w:rsid w:val="5D6F0D72"/>
    <w:rsid w:val="5DD9480C"/>
    <w:rsid w:val="5DF963B0"/>
    <w:rsid w:val="5E1C1DC8"/>
    <w:rsid w:val="5E495D8F"/>
    <w:rsid w:val="5EA85EEB"/>
    <w:rsid w:val="5EF83C80"/>
    <w:rsid w:val="5F1C2834"/>
    <w:rsid w:val="5F351B48"/>
    <w:rsid w:val="6017749F"/>
    <w:rsid w:val="60177CFC"/>
    <w:rsid w:val="60936B26"/>
    <w:rsid w:val="60CC2038"/>
    <w:rsid w:val="612A6519"/>
    <w:rsid w:val="6142054C"/>
    <w:rsid w:val="62494354"/>
    <w:rsid w:val="6252656D"/>
    <w:rsid w:val="62662018"/>
    <w:rsid w:val="62DE081C"/>
    <w:rsid w:val="62F742DB"/>
    <w:rsid w:val="635F42CD"/>
    <w:rsid w:val="63624ED5"/>
    <w:rsid w:val="63AF3CC9"/>
    <w:rsid w:val="63B7295C"/>
    <w:rsid w:val="63D6437D"/>
    <w:rsid w:val="641009BA"/>
    <w:rsid w:val="64220226"/>
    <w:rsid w:val="64BC23C3"/>
    <w:rsid w:val="65256501"/>
    <w:rsid w:val="65736F26"/>
    <w:rsid w:val="659F65C9"/>
    <w:rsid w:val="65B65064"/>
    <w:rsid w:val="65C92FEA"/>
    <w:rsid w:val="66B34996"/>
    <w:rsid w:val="66D9725C"/>
    <w:rsid w:val="66ED4AB6"/>
    <w:rsid w:val="67541623"/>
    <w:rsid w:val="676E209B"/>
    <w:rsid w:val="677A0A3F"/>
    <w:rsid w:val="679D64DC"/>
    <w:rsid w:val="67AB6E4B"/>
    <w:rsid w:val="67BB4BB4"/>
    <w:rsid w:val="683B19BE"/>
    <w:rsid w:val="689B6EBF"/>
    <w:rsid w:val="69140A20"/>
    <w:rsid w:val="692568DC"/>
    <w:rsid w:val="693D596E"/>
    <w:rsid w:val="696A24C6"/>
    <w:rsid w:val="69A30A89"/>
    <w:rsid w:val="69C53AC8"/>
    <w:rsid w:val="6AA07D07"/>
    <w:rsid w:val="6AB52DA3"/>
    <w:rsid w:val="6B547E51"/>
    <w:rsid w:val="6B6F07AD"/>
    <w:rsid w:val="6B881251"/>
    <w:rsid w:val="6BAA566B"/>
    <w:rsid w:val="6BF67D6D"/>
    <w:rsid w:val="6C184383"/>
    <w:rsid w:val="6C3A079D"/>
    <w:rsid w:val="6C7A503E"/>
    <w:rsid w:val="6CAA1D3E"/>
    <w:rsid w:val="6D3F1195"/>
    <w:rsid w:val="6E0A6EA2"/>
    <w:rsid w:val="6E1B0C7D"/>
    <w:rsid w:val="6E7B6E4B"/>
    <w:rsid w:val="6F656F93"/>
    <w:rsid w:val="6FC16D20"/>
    <w:rsid w:val="6FCA008A"/>
    <w:rsid w:val="70950698"/>
    <w:rsid w:val="710004CB"/>
    <w:rsid w:val="7101103F"/>
    <w:rsid w:val="71641657"/>
    <w:rsid w:val="71704C61"/>
    <w:rsid w:val="71F6680B"/>
    <w:rsid w:val="72035AD5"/>
    <w:rsid w:val="723A4CA1"/>
    <w:rsid w:val="72CB7BAF"/>
    <w:rsid w:val="73092C77"/>
    <w:rsid w:val="731F249B"/>
    <w:rsid w:val="73970283"/>
    <w:rsid w:val="74277859"/>
    <w:rsid w:val="749658CB"/>
    <w:rsid w:val="75103DE3"/>
    <w:rsid w:val="75357D54"/>
    <w:rsid w:val="75A127AF"/>
    <w:rsid w:val="75A718BB"/>
    <w:rsid w:val="764346F2"/>
    <w:rsid w:val="76B850E0"/>
    <w:rsid w:val="76CE2B78"/>
    <w:rsid w:val="76E539FB"/>
    <w:rsid w:val="76FE37FE"/>
    <w:rsid w:val="77162BFC"/>
    <w:rsid w:val="77D23F80"/>
    <w:rsid w:val="77DA1086"/>
    <w:rsid w:val="78355DC3"/>
    <w:rsid w:val="78BF01DE"/>
    <w:rsid w:val="78F10436"/>
    <w:rsid w:val="79336CA0"/>
    <w:rsid w:val="798A0AC8"/>
    <w:rsid w:val="79F60EB3"/>
    <w:rsid w:val="7A552C46"/>
    <w:rsid w:val="7A77654A"/>
    <w:rsid w:val="7AA5597C"/>
    <w:rsid w:val="7B2F61D4"/>
    <w:rsid w:val="7B5B428C"/>
    <w:rsid w:val="7B644CE3"/>
    <w:rsid w:val="7B6C2744"/>
    <w:rsid w:val="7B952C8D"/>
    <w:rsid w:val="7BA36091"/>
    <w:rsid w:val="7BC11E13"/>
    <w:rsid w:val="7C1B3D40"/>
    <w:rsid w:val="7C2461D6"/>
    <w:rsid w:val="7CDF41F6"/>
    <w:rsid w:val="7D915434"/>
    <w:rsid w:val="7E2328C3"/>
    <w:rsid w:val="7E9B156F"/>
    <w:rsid w:val="7E9F2153"/>
    <w:rsid w:val="7EF7251E"/>
    <w:rsid w:val="7F032C71"/>
    <w:rsid w:val="7F5D4A77"/>
    <w:rsid w:val="7F5F07EF"/>
    <w:rsid w:val="7F8C7212"/>
    <w:rsid w:val="7F9C3948"/>
    <w:rsid w:val="7FB16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Times New Roman" w:cstheme="minorBidi"/>
      <w:kern w:val="2"/>
      <w:szCs w:val="21"/>
      <w:lang w:val="en-US" w:eastAsia="zh-CN" w:bidi="ar-SA"/>
    </w:rPr>
  </w:style>
  <w:style w:type="paragraph" w:styleId="2">
    <w:name w:val="heading 1"/>
    <w:basedOn w:val="1"/>
    <w:next w:val="1"/>
    <w:link w:val="18"/>
    <w:qFormat/>
    <w:uiPriority w:val="0"/>
    <w:pPr>
      <w:keepNext/>
      <w:keepLines/>
      <w:spacing w:before="340" w:after="330" w:line="578" w:lineRule="auto"/>
      <w:outlineLvl w:val="0"/>
    </w:pPr>
    <w:rPr>
      <w:rFonts w:cs="Times New Roman"/>
      <w:b/>
      <w:bCs/>
      <w:kern w:val="44"/>
      <w:sz w:val="44"/>
      <w:szCs w:val="44"/>
    </w:rPr>
  </w:style>
  <w:style w:type="paragraph" w:styleId="3">
    <w:name w:val="heading 2"/>
    <w:basedOn w:val="4"/>
    <w:next w:val="1"/>
    <w:link w:val="19"/>
    <w:qFormat/>
    <w:uiPriority w:val="0"/>
    <w:pPr>
      <w:numPr>
        <w:ilvl w:val="1"/>
        <w:numId w:val="1"/>
      </w:numPr>
      <w:spacing w:before="120" w:after="120"/>
      <w:ind w:firstLine="0" w:firstLineChars="0"/>
      <w:outlineLvl w:val="1"/>
    </w:pPr>
    <w:rPr>
      <w:rFonts w:eastAsia="宋体"/>
      <w:b/>
      <w:sz w:val="24"/>
      <w:szCs w:val="24"/>
    </w:rPr>
  </w:style>
  <w:style w:type="paragraph" w:styleId="5">
    <w:name w:val="heading 3"/>
    <w:basedOn w:val="3"/>
    <w:next w:val="1"/>
    <w:link w:val="20"/>
    <w:qFormat/>
    <w:uiPriority w:val="0"/>
    <w:pPr>
      <w:outlineLvl w:val="2"/>
    </w:pPr>
    <w:rPr>
      <w:sz w:val="21"/>
    </w:rPr>
  </w:style>
  <w:style w:type="character" w:default="1" w:styleId="14">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spacing w:before="0" w:beforeLines="0" w:after="0" w:afterLines="0"/>
      <w:ind w:firstLine="200" w:firstLineChars="200"/>
    </w:pPr>
  </w:style>
  <w:style w:type="paragraph" w:styleId="6">
    <w:name w:val="annotation text"/>
    <w:basedOn w:val="1"/>
    <w:link w:val="29"/>
    <w:semiHidden/>
    <w:qFormat/>
    <w:uiPriority w:val="0"/>
    <w:pPr>
      <w:spacing w:before="40" w:beforeLines="0" w:after="0" w:afterLines="0"/>
      <w:jc w:val="left"/>
    </w:pPr>
    <w:rPr>
      <w:rFonts w:ascii="Arial" w:hAnsi="Arial" w:eastAsia="MS Mincho" w:cs="Times New Roman"/>
      <w:kern w:val="0"/>
      <w:szCs w:val="20"/>
      <w:lang w:val="en-GB" w:eastAsia="en-GB"/>
    </w:rPr>
  </w:style>
  <w:style w:type="paragraph" w:styleId="7">
    <w:name w:val="toc 3"/>
    <w:basedOn w:val="1"/>
    <w:next w:val="1"/>
    <w:autoRedefine/>
    <w:unhideWhenUsed/>
    <w:qFormat/>
    <w:uiPriority w:val="39"/>
    <w:pPr>
      <w:tabs>
        <w:tab w:val="left" w:pos="1260"/>
        <w:tab w:val="right" w:leader="dot" w:pos="9346"/>
      </w:tabs>
      <w:spacing w:before="156" w:after="156"/>
      <w:ind w:left="1202" w:leftChars="400" w:hanging="402" w:hangingChars="200"/>
    </w:pPr>
    <w:rPr>
      <w:rFonts w:cs="Times New Roman"/>
      <w:b/>
      <w:i/>
      <w:szCs w:val="20"/>
    </w:rPr>
  </w:style>
  <w:style w:type="paragraph" w:styleId="8">
    <w:name w:val="footer"/>
    <w:basedOn w:val="1"/>
    <w:link w:val="25"/>
    <w:unhideWhenUsed/>
    <w:qFormat/>
    <w:uiPriority w:val="99"/>
    <w:pPr>
      <w:tabs>
        <w:tab w:val="center" w:pos="4153"/>
        <w:tab w:val="right" w:pos="8306"/>
      </w:tabs>
      <w:snapToGrid w:val="0"/>
      <w:jc w:val="left"/>
    </w:pPr>
    <w:rPr>
      <w:sz w:val="18"/>
      <w:szCs w:val="18"/>
    </w:rPr>
  </w:style>
  <w:style w:type="paragraph" w:styleId="9">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autoRedefine/>
    <w:unhideWhenUsed/>
    <w:qFormat/>
    <w:uiPriority w:val="39"/>
    <w:pPr>
      <w:tabs>
        <w:tab w:val="left" w:pos="1260"/>
        <w:tab w:val="right" w:leader="dot" w:pos="9346"/>
      </w:tabs>
      <w:spacing w:before="156" w:after="156"/>
    </w:pPr>
    <w:rPr>
      <w:rFonts w:cs="Times New Roman"/>
      <w:b/>
      <w:i/>
      <w:szCs w:val="20"/>
    </w:rPr>
  </w:style>
  <w:style w:type="paragraph" w:styleId="11">
    <w:name w:val="toc 2"/>
    <w:basedOn w:val="1"/>
    <w:next w:val="1"/>
    <w:autoRedefine/>
    <w:unhideWhenUsed/>
    <w:qFormat/>
    <w:uiPriority w:val="39"/>
    <w:pPr>
      <w:ind w:left="400" w:leftChars="200" w:hanging="200" w:hangingChars="200"/>
    </w:pPr>
    <w:rPr>
      <w:rFonts w:cs="Times New Roman"/>
      <w:b/>
      <w:i/>
      <w:szCs w:val="20"/>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rPr>
  </w:style>
  <w:style w:type="character" w:styleId="16">
    <w:name w:val="Hyperlink"/>
    <w:basedOn w:val="14"/>
    <w:unhideWhenUsed/>
    <w:qFormat/>
    <w:uiPriority w:val="99"/>
    <w:rPr>
      <w:color w:val="0563C1" w:themeColor="hyperlink"/>
      <w:u w:val="single"/>
      <w14:textFill>
        <w14:solidFill>
          <w14:schemeClr w14:val="hlink"/>
        </w14:solidFill>
      </w14:textFill>
    </w:rPr>
  </w:style>
  <w:style w:type="character" w:styleId="17">
    <w:name w:val="annotation reference"/>
    <w:semiHidden/>
    <w:qFormat/>
    <w:uiPriority w:val="0"/>
    <w:rPr>
      <w:sz w:val="16"/>
      <w:szCs w:val="16"/>
    </w:rPr>
  </w:style>
  <w:style w:type="character" w:customStyle="1" w:styleId="18">
    <w:name w:val="标题 1 字符"/>
    <w:basedOn w:val="14"/>
    <w:link w:val="2"/>
    <w:qFormat/>
    <w:uiPriority w:val="0"/>
    <w:rPr>
      <w:rFonts w:ascii="Times New Roman" w:hAnsi="Times New Roman" w:eastAsia="Times New Roman" w:cs="Times New Roman"/>
      <w:b/>
      <w:bCs/>
      <w:kern w:val="44"/>
      <w:sz w:val="44"/>
      <w:szCs w:val="44"/>
    </w:rPr>
  </w:style>
  <w:style w:type="character" w:customStyle="1" w:styleId="19">
    <w:name w:val="标题 2 字符"/>
    <w:basedOn w:val="14"/>
    <w:link w:val="3"/>
    <w:qFormat/>
    <w:uiPriority w:val="0"/>
    <w:rPr>
      <w:rFonts w:ascii="Times New Roman" w:hAnsi="Times New Roman" w:eastAsia="宋体"/>
      <w:b/>
      <w:sz w:val="24"/>
      <w:szCs w:val="24"/>
    </w:rPr>
  </w:style>
  <w:style w:type="character" w:customStyle="1" w:styleId="20">
    <w:name w:val="标题 3 字符"/>
    <w:basedOn w:val="14"/>
    <w:link w:val="5"/>
    <w:qFormat/>
    <w:uiPriority w:val="0"/>
    <w:rPr>
      <w:rFonts w:ascii="Times New Roman" w:hAnsi="Times New Roman" w:eastAsia="宋体"/>
      <w:b/>
      <w:szCs w:val="24"/>
    </w:rPr>
  </w:style>
  <w:style w:type="paragraph" w:customStyle="1" w:styleId="21">
    <w:name w:val="1st-Proposal-YJ"/>
    <w:basedOn w:val="1"/>
    <w:qFormat/>
    <w:uiPriority w:val="0"/>
    <w:pPr>
      <w:numPr>
        <w:ilvl w:val="0"/>
        <w:numId w:val="2"/>
      </w:numPr>
      <w:snapToGrid w:val="0"/>
    </w:pPr>
    <w:rPr>
      <w:rFonts w:cs="Times New Roman"/>
      <w:b/>
      <w:szCs w:val="20"/>
    </w:rPr>
  </w:style>
  <w:style w:type="paragraph" w:customStyle="1" w:styleId="22">
    <w:name w:val="2nd-proposal-YJ"/>
    <w:basedOn w:val="21"/>
    <w:qFormat/>
    <w:uiPriority w:val="0"/>
    <w:pPr>
      <w:numPr>
        <w:ilvl w:val="1"/>
      </w:numPr>
      <w:adjustRightInd w:val="0"/>
    </w:pPr>
  </w:style>
  <w:style w:type="paragraph" w:customStyle="1" w:styleId="23">
    <w:name w:val="3nd-proposal-YJ"/>
    <w:basedOn w:val="22"/>
    <w:qFormat/>
    <w:uiPriority w:val="0"/>
    <w:pPr>
      <w:numPr>
        <w:ilvl w:val="2"/>
      </w:numPr>
    </w:pPr>
  </w:style>
  <w:style w:type="character" w:customStyle="1" w:styleId="24">
    <w:name w:val="页眉 字符"/>
    <w:basedOn w:val="14"/>
    <w:link w:val="9"/>
    <w:qFormat/>
    <w:uiPriority w:val="99"/>
    <w:rPr>
      <w:rFonts w:eastAsia="Times New Roman"/>
      <w:sz w:val="18"/>
      <w:szCs w:val="18"/>
    </w:rPr>
  </w:style>
  <w:style w:type="character" w:customStyle="1" w:styleId="25">
    <w:name w:val="页脚 字符"/>
    <w:basedOn w:val="14"/>
    <w:link w:val="8"/>
    <w:qFormat/>
    <w:uiPriority w:val="99"/>
    <w:rPr>
      <w:rFonts w:eastAsia="Times New Roman"/>
      <w:sz w:val="18"/>
      <w:szCs w:val="18"/>
    </w:rPr>
  </w:style>
  <w:style w:type="paragraph" w:customStyle="1" w:styleId="26">
    <w:name w:val="1st-ob-YJ"/>
    <w:basedOn w:val="21"/>
    <w:link w:val="34"/>
    <w:qFormat/>
    <w:uiPriority w:val="0"/>
    <w:pPr>
      <w:numPr>
        <w:numId w:val="3"/>
      </w:numPr>
    </w:pPr>
  </w:style>
  <w:style w:type="paragraph" w:customStyle="1" w:styleId="27">
    <w:name w:val="2nd-ob-YJ"/>
    <w:basedOn w:val="22"/>
    <w:qFormat/>
    <w:uiPriority w:val="0"/>
    <w:pPr>
      <w:numPr>
        <w:numId w:val="3"/>
      </w:numPr>
      <w:tabs>
        <w:tab w:val="left" w:pos="851"/>
      </w:tabs>
    </w:pPr>
    <w:rPr>
      <w:rFonts w:eastAsiaTheme="minorEastAsia"/>
    </w:rPr>
  </w:style>
  <w:style w:type="paragraph" w:customStyle="1" w:styleId="28">
    <w:name w:val="3nd-ob-YJ"/>
    <w:basedOn w:val="23"/>
    <w:qFormat/>
    <w:uiPriority w:val="0"/>
    <w:pPr>
      <w:numPr>
        <w:numId w:val="3"/>
      </w:numPr>
      <w:tabs>
        <w:tab w:val="left" w:pos="1247"/>
      </w:tabs>
    </w:pPr>
  </w:style>
  <w:style w:type="character" w:customStyle="1" w:styleId="29">
    <w:name w:val="批注文字 字符"/>
    <w:basedOn w:val="14"/>
    <w:link w:val="6"/>
    <w:semiHidden/>
    <w:qFormat/>
    <w:uiPriority w:val="0"/>
    <w:rPr>
      <w:rFonts w:ascii="Arial" w:hAnsi="Arial" w:eastAsia="MS Mincho" w:cs="Times New Roman"/>
      <w:lang w:val="en-GB" w:eastAsia="en-GB"/>
    </w:rPr>
  </w:style>
  <w:style w:type="paragraph" w:customStyle="1" w:styleId="30">
    <w:name w:val="Doc-text2"/>
    <w:basedOn w:val="1"/>
    <w:link w:val="31"/>
    <w:qFormat/>
    <w:uiPriority w:val="0"/>
    <w:pPr>
      <w:tabs>
        <w:tab w:val="left" w:pos="1622"/>
      </w:tabs>
      <w:spacing w:before="0" w:beforeLines="0" w:after="0" w:afterLines="0"/>
      <w:ind w:left="1622" w:hanging="363"/>
      <w:jc w:val="left"/>
    </w:pPr>
    <w:rPr>
      <w:rFonts w:ascii="Arial" w:hAnsi="Arial" w:eastAsia="MS Mincho" w:cs="Times New Roman"/>
      <w:kern w:val="0"/>
      <w:szCs w:val="24"/>
      <w:lang w:val="en-GB" w:eastAsia="en-GB"/>
    </w:rPr>
  </w:style>
  <w:style w:type="character" w:customStyle="1" w:styleId="31">
    <w:name w:val="Doc-text2 Char"/>
    <w:link w:val="30"/>
    <w:qFormat/>
    <w:uiPriority w:val="0"/>
    <w:rPr>
      <w:rFonts w:ascii="Arial" w:hAnsi="Arial" w:eastAsia="MS Mincho" w:cs="Times New Roman"/>
      <w:szCs w:val="24"/>
      <w:lang w:val="en-GB" w:eastAsia="en-GB"/>
    </w:rPr>
  </w:style>
  <w:style w:type="paragraph" w:customStyle="1" w:styleId="32">
    <w:name w:val="Agreement"/>
    <w:basedOn w:val="1"/>
    <w:next w:val="30"/>
    <w:qFormat/>
    <w:uiPriority w:val="99"/>
    <w:pPr>
      <w:numPr>
        <w:ilvl w:val="0"/>
        <w:numId w:val="4"/>
      </w:numPr>
      <w:spacing w:before="60" w:beforeLines="0" w:after="0" w:afterLines="0"/>
      <w:jc w:val="left"/>
    </w:pPr>
    <w:rPr>
      <w:rFonts w:ascii="Arial" w:hAnsi="Arial" w:eastAsia="MS Mincho" w:cs="Times New Roman"/>
      <w:b/>
      <w:kern w:val="0"/>
      <w:szCs w:val="24"/>
      <w:lang w:val="en-GB" w:eastAsia="en-GB"/>
    </w:rPr>
  </w:style>
  <w:style w:type="paragraph" w:customStyle="1" w:styleId="33">
    <w:name w:val="Revision"/>
    <w:hidden/>
    <w:unhideWhenUsed/>
    <w:qFormat/>
    <w:uiPriority w:val="99"/>
    <w:rPr>
      <w:rFonts w:ascii="Times New Roman" w:hAnsi="Times New Roman" w:eastAsia="Times New Roman" w:cstheme="minorBidi"/>
      <w:kern w:val="2"/>
      <w:szCs w:val="21"/>
      <w:lang w:val="en-US" w:eastAsia="zh-CN" w:bidi="ar-SA"/>
    </w:rPr>
  </w:style>
  <w:style w:type="character" w:customStyle="1" w:styleId="34">
    <w:name w:val="1st-ob-YJ Char"/>
    <w:link w:val="26"/>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3.png"/><Relationship Id="rId14" Type="http://schemas.openxmlformats.org/officeDocument/2006/relationships/image" Target="media/image2.emf"/><Relationship Id="rId13" Type="http://schemas.openxmlformats.org/officeDocument/2006/relationships/oleObject" Target="embeddings/Microsoft_Visio_2003-2010___2.vsd"/><Relationship Id="rId12" Type="http://schemas.openxmlformats.org/officeDocument/2006/relationships/image" Target="media/image1.emf"/><Relationship Id="rId11" Type="http://schemas.openxmlformats.org/officeDocument/2006/relationships/package" Target="embeddings/Microsoft_Visio___1.vsdx"/><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7E674-D9EF-4FC9-B887-85488F44D7B2}">
  <ds:schemaRefs/>
</ds:datastoreItem>
</file>

<file path=docProps/app.xml><?xml version="1.0" encoding="utf-8"?>
<Properties xmlns="http://schemas.openxmlformats.org/officeDocument/2006/extended-properties" xmlns:vt="http://schemas.openxmlformats.org/officeDocument/2006/docPropsVTypes">
  <Template>Normal.dotm</Template>
  <Company>CSCN</Company>
  <Pages>7</Pages>
  <Words>1688</Words>
  <Characters>9569</Characters>
  <Lines>272</Lines>
  <Paragraphs>155</Paragraphs>
  <TotalTime>21</TotalTime>
  <ScaleCrop>false</ScaleCrop>
  <LinksUpToDate>false</LinksUpToDate>
  <CharactersWithSpaces>11242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2026-01-29T09:46:00Z</dcterms:created>
  <dc:creator>tengrui</dc:creator>
  <dc:description>RAN2#133</dc:description>
  <cp:lastModifiedBy>tengrui (CSCN)</cp:lastModifiedBy>
  <dcterms:modified xsi:type="dcterms:W3CDTF">2026-01-30T06:48:49Z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36EBC7F99CD247FF908F1DBD24B04D9E_13</vt:lpwstr>
  </property>
  <property fmtid="{D5CDD505-2E9C-101B-9397-08002B2CF9AE}" pid="4" name="KSOTemplateDocerSaveRecord">
    <vt:lpwstr>eyJoZGlkIjoiYzgyYWExZDAyNmVmNzhjMmIzOGU2YjllYjc2NDA5NGIiLCJ1c2VySWQiOiIyNTQ2MTIxNDAifQ==</vt:lpwstr>
  </property>
</Properties>
</file>